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8A68E5" w:rsidRDefault="00DD7A4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  <w:r>
        <w:rPr>
          <w:rFonts w:ascii="方正黑体简体" w:eastAsia="方正黑体简体" w:hAnsi="方正黑体简体" w:cs="方正黑体简体" w:hint="eastAsia"/>
          <w:b/>
          <w:bCs/>
          <w:noProof/>
          <w:sz w:val="48"/>
          <w:szCs w:val="48"/>
        </w:rPr>
        <w:drawing>
          <wp:inline distT="0" distB="0" distL="114300" distR="114300">
            <wp:extent cx="1986915" cy="380365"/>
            <wp:effectExtent l="0" t="0" r="19685" b="635"/>
            <wp:docPr id="5" name="图片 5" descr="logo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ogo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38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8E5" w:rsidRDefault="008A68E5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8A68E5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8A68E5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8A68E5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DD7A47">
      <w:pPr>
        <w:jc w:val="center"/>
        <w:rPr>
          <w:rFonts w:ascii="方正黑体简体" w:eastAsia="方正黑体简体" w:hAnsi="方正黑体简体" w:cs="方正黑体简体"/>
          <w:sz w:val="44"/>
          <w:szCs w:val="44"/>
        </w:rPr>
      </w:pPr>
      <w:r>
        <w:rPr>
          <w:rFonts w:ascii="方正黑体简体" w:eastAsia="方正黑体简体" w:hAnsi="方正黑体简体" w:cs="方正黑体简体" w:hint="eastAsia"/>
          <w:sz w:val="44"/>
          <w:szCs w:val="44"/>
        </w:rPr>
        <w:t>大连商品交易所</w:t>
      </w:r>
    </w:p>
    <w:p w:rsidR="008A68E5" w:rsidRDefault="00DD7A47">
      <w:pPr>
        <w:jc w:val="center"/>
        <w:rPr>
          <w:rFonts w:ascii="方正黑体简体" w:eastAsia="方正黑体简体" w:hAnsi="方正黑体简体" w:cs="方正黑体简体"/>
          <w:sz w:val="44"/>
          <w:szCs w:val="44"/>
        </w:rPr>
      </w:pPr>
      <w:r>
        <w:rPr>
          <w:rFonts w:ascii="方正黑体简体" w:eastAsia="方正黑体简体" w:hAnsi="方正黑体简体" w:cs="方正黑体简体" w:hint="eastAsia"/>
          <w:sz w:val="44"/>
          <w:szCs w:val="44"/>
        </w:rPr>
        <w:t>期转现平台使用指南</w:t>
      </w:r>
      <w:bookmarkStart w:id="0" w:name="_GoBack"/>
      <w:bookmarkEnd w:id="0"/>
      <w:r>
        <w:rPr>
          <w:rFonts w:ascii="方正黑体简体" w:eastAsia="方正黑体简体" w:hAnsi="方正黑体简体" w:cs="方正黑体简体" w:hint="eastAsia"/>
          <w:sz w:val="44"/>
          <w:szCs w:val="44"/>
        </w:rPr>
        <w:t>（客户</w:t>
      </w:r>
      <w:r>
        <w:rPr>
          <w:rFonts w:ascii="方正黑体简体" w:eastAsia="方正黑体简体" w:hAnsi="方正黑体简体" w:cs="方正黑体简体" w:hint="eastAsia"/>
          <w:sz w:val="44"/>
          <w:szCs w:val="4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sz w:val="44"/>
          <w:szCs w:val="44"/>
        </w:rPr>
        <w:t>）</w:t>
      </w:r>
    </w:p>
    <w:p w:rsidR="008A68E5" w:rsidRDefault="008A68E5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8A68E5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8A68E5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8A68E5" w:rsidRDefault="00DD7A47">
      <w:pPr>
        <w:pStyle w:val="31"/>
        <w:ind w:leftChars="0" w:left="0"/>
        <w:rPr>
          <w:rFonts w:ascii="方正黑体简体" w:eastAsia="方正黑体简体" w:hAnsi="方正黑体简体" w:cs="方正黑体简体"/>
        </w:rPr>
      </w:pPr>
      <w:r>
        <w:rPr>
          <w:rFonts w:ascii="方正黑体简体" w:eastAsia="方正黑体简体" w:hAnsi="方正黑体简体" w:cs="方正黑体简体" w:hint="eastAsia"/>
          <w:noProof/>
        </w:rPr>
        <w:drawing>
          <wp:inline distT="0" distB="0" distL="114300" distR="114300">
            <wp:extent cx="5267960" cy="2445385"/>
            <wp:effectExtent l="0" t="0" r="15240" b="18415"/>
            <wp:docPr id="8" name="图片 8" descr="/Users/mobiledev 1/Desktop/ab.png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/Users/mobiledev 1/Desktop/ab.pngab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8E5" w:rsidRDefault="008A68E5">
      <w:pPr>
        <w:pStyle w:val="11"/>
        <w:tabs>
          <w:tab w:val="right" w:leader="dot" w:pos="8306"/>
        </w:tabs>
        <w:spacing w:line="400" w:lineRule="exact"/>
        <w:rPr>
          <w:rFonts w:ascii="方正黑体简体" w:eastAsia="方正黑体简体" w:hAnsi="方正黑体简体" w:cs="方正黑体简体"/>
          <w:b/>
          <w:bCs/>
          <w:szCs w:val="24"/>
        </w:rPr>
        <w:sectPr w:rsidR="008A68E5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start="4"/>
          <w:cols w:space="425"/>
          <w:docGrid w:type="lines" w:linePitch="312"/>
        </w:sectPr>
      </w:pPr>
    </w:p>
    <w:p w:rsidR="008A68E5" w:rsidRDefault="00DD7A47">
      <w:pPr>
        <w:pStyle w:val="11"/>
        <w:tabs>
          <w:tab w:val="right" w:leader="dot" w:pos="8306"/>
        </w:tabs>
        <w:rPr>
          <w:szCs w:val="24"/>
        </w:rPr>
      </w:pPr>
      <w:r>
        <w:rPr>
          <w:rFonts w:ascii="方正黑体简体" w:eastAsia="方正黑体简体" w:hAnsi="方正黑体简体" w:cs="方正黑体简体" w:hint="eastAsia"/>
          <w:bCs/>
          <w:szCs w:val="24"/>
        </w:rPr>
        <w:lastRenderedPageBreak/>
        <w:fldChar w:fldCharType="begin"/>
      </w:r>
      <w:r>
        <w:rPr>
          <w:rFonts w:ascii="方正黑体简体" w:eastAsia="方正黑体简体" w:hAnsi="方正黑体简体" w:cs="方正黑体简体" w:hint="eastAsia"/>
          <w:bCs/>
          <w:szCs w:val="24"/>
        </w:rPr>
        <w:instrText xml:space="preserve">TOC \o "1-3" \h \u </w:instrText>
      </w:r>
      <w:r>
        <w:rPr>
          <w:rFonts w:ascii="方正黑体简体" w:eastAsia="方正黑体简体" w:hAnsi="方正黑体简体" w:cs="方正黑体简体" w:hint="eastAsia"/>
          <w:bCs/>
          <w:szCs w:val="24"/>
        </w:rPr>
        <w:fldChar w:fldCharType="separate"/>
      </w:r>
      <w:hyperlink w:anchor="_Toc9755" w:history="1">
        <w:r>
          <w:rPr>
            <w:rFonts w:ascii="方正黑体简体" w:eastAsia="方正黑体简体" w:hAnsi="方正黑体简体" w:cs="方正黑体简体" w:hint="eastAsia"/>
            <w:szCs w:val="24"/>
          </w:rPr>
          <w:t>第一章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业务操作指引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_Toc9755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- 1 -</w:t>
        </w:r>
        <w:r>
          <w:rPr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610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系统登录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_Toc26108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9786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用户角色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_Toc9786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00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工作台功能介绍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_Toc2001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208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>3.1.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待办任务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已办任务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_Toc22089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- 3 -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704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>3.2.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业务办理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_Toc17048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875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>3.3.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常用功能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_Toc8759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- 4</w:t>
        </w:r>
        <w:r>
          <w:rPr>
            <w:sz w:val="24"/>
            <w:szCs w:val="24"/>
          </w:rPr>
          <w:t xml:space="preserve">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1161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3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.4.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我的资产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_Toc21161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- 5 -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3698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3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.5.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行情信息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_Toc23698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</w:t>
        </w:r>
        <w:r>
          <w:rPr>
            <w:sz w:val="24"/>
            <w:szCs w:val="24"/>
          </w:rPr>
          <w:t xml:space="preserve"> 5 -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4491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3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.6.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业务提醒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_Toc4491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- 6 -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976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客户管理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_Toc19762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</w:t>
        </w:r>
        <w:r>
          <w:rPr>
            <w:sz w:val="24"/>
            <w:szCs w:val="24"/>
          </w:rPr>
          <w:t xml:space="preserve"> 6 -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111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资金管理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_Toc21112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- 6 -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11"/>
        <w:tabs>
          <w:tab w:val="right" w:leader="dot" w:pos="8306"/>
        </w:tabs>
        <w:rPr>
          <w:szCs w:val="24"/>
        </w:rPr>
      </w:pPr>
      <w:hyperlink w:anchor="_Toc545" w:history="1">
        <w:r>
          <w:rPr>
            <w:rFonts w:ascii="方正黑体简体" w:eastAsia="方正黑体简体" w:hAnsi="方正黑体简体" w:cs="方正黑体简体" w:hint="eastAsia"/>
            <w:szCs w:val="24"/>
          </w:rPr>
          <w:t>第二章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特定业务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_Toc545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- 8</w:t>
        </w:r>
        <w:r>
          <w:rPr>
            <w:szCs w:val="24"/>
          </w:rPr>
          <w:t xml:space="preserve"> -</w:t>
        </w:r>
        <w:r>
          <w:rPr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5397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现货业务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_Toc15397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- 8 -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375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基差交易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_Toc23758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 xml:space="preserve">- </w:t>
        </w:r>
        <w:r>
          <w:rPr>
            <w:sz w:val="24"/>
            <w:szCs w:val="24"/>
          </w:rPr>
          <w:t>8 -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2090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新建合约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_Toc20904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- 8 -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2606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发布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摘牌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_Toc26</w:instrText>
        </w:r>
        <w:r>
          <w:rPr>
            <w:sz w:val="24"/>
            <w:szCs w:val="24"/>
          </w:rPr>
          <w:instrText xml:space="preserve">062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- 9 -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1185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报价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_Toc11185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95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下单响应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_Toc954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138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固定价交易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_Toc11381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2199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>1.2.1.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新建合约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_Toc21999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306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1.2.2.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发布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摘牌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_Toc3063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- 12 -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489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1.2.3.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报价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_Toc14891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- 13 -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8326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1.2.4.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下单响应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_Toc18326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- 13 -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1856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合约查询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_Toc31856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589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交易查询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_Toc5893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727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1.5.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日结算报表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_Toc27274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307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标准仓单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_Toc23071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4390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2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.1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我的仓单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_Toc4390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20015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2.1.1.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仓单登记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_Toc20015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2212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2.1.2.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解除登记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_Toc22121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- 16 -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750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2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标准仓单交易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_Toc3750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- 17 -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63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2.2.1.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挂牌录入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_Toc1632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</w:t>
        </w:r>
        <w:r>
          <w:rPr>
            <w:sz w:val="24"/>
            <w:szCs w:val="24"/>
          </w:rPr>
          <w:t>7 -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749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2.2.2.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复核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撤销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_Toc17493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- 19 -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836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2.2.3.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响应卖挂牌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</w:instrText>
        </w:r>
        <w:r>
          <w:rPr>
            <w:sz w:val="24"/>
            <w:szCs w:val="24"/>
          </w:rPr>
          <w:instrText xml:space="preserve">18364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- 19 -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31"/>
        <w:tabs>
          <w:tab w:val="right" w:leader="dot" w:pos="8306"/>
        </w:tabs>
        <w:ind w:left="960"/>
        <w:rPr>
          <w:sz w:val="24"/>
          <w:szCs w:val="24"/>
        </w:rPr>
      </w:pPr>
      <w:hyperlink w:anchor="_Toc1629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2.2.4.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发布买挂牌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_Toc16292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- 20 -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5535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2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.3.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仓单交易信息查询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_Toc25535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3908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2</w:t>
        </w:r>
        <w:r>
          <w:rPr>
            <w:rFonts w:ascii="方正黑体简体" w:eastAsia="方正黑体简体" w:hAnsi="方正黑体简体" w:cs="方正黑体简体"/>
            <w:sz w:val="24"/>
            <w:szCs w:val="24"/>
          </w:rPr>
          <w:t>.4.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日报表查询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_Toc23908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- 21 -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11"/>
        <w:tabs>
          <w:tab w:val="right" w:leader="dot" w:pos="8306"/>
        </w:tabs>
        <w:rPr>
          <w:szCs w:val="24"/>
        </w:rPr>
      </w:pPr>
      <w:hyperlink w:anchor="_Toc25158" w:history="1">
        <w:r>
          <w:rPr>
            <w:rFonts w:ascii="方正黑体简体" w:eastAsia="方正黑体简体" w:hAnsi="方正黑体简体" w:cs="方正黑体简体" w:hint="eastAsia"/>
            <w:szCs w:val="24"/>
          </w:rPr>
          <w:t>第三</w:t>
        </w:r>
        <w:r>
          <w:rPr>
            <w:rFonts w:ascii="方正黑体简体" w:eastAsia="方正黑体简体" w:hAnsi="方正黑体简体" w:cs="方正黑体简体" w:hint="eastAsia"/>
            <w:szCs w:val="24"/>
          </w:rPr>
          <w:t>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期转现业务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_Toc25158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- 22 -</w:t>
        </w:r>
        <w:r>
          <w:rPr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127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期转现申请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_Toc21279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- 22 -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722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期转现平台达成现端交易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_Toc17224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- 22 -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0015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1.2.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自行达成现端交易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_Toc10015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- 23 -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0577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1.3.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场外平台达成现端交易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_Toc10577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- 23 -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1110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1.4.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期现同时达成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_Toc31110 </w:instrText>
        </w:r>
        <w:r>
          <w:rPr>
            <w:sz w:val="24"/>
            <w:szCs w:val="24"/>
          </w:rPr>
          <w:instrText xml:space="preserve">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9400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期转现确认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_Toc9400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- 24 -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206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期转现意向发布及查询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_Toc12064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- 25 -</w:t>
        </w:r>
        <w:r>
          <w:rPr>
            <w:sz w:val="24"/>
            <w:szCs w:val="24"/>
          </w:rPr>
          <w:fldChar w:fldCharType="end"/>
        </w:r>
      </w:hyperlink>
    </w:p>
    <w:p w:rsidR="008A68E5" w:rsidRDefault="00DD7A47">
      <w:pPr>
        <w:pStyle w:val="11"/>
        <w:tabs>
          <w:tab w:val="right" w:leader="dot" w:pos="8306"/>
        </w:tabs>
        <w:rPr>
          <w:rFonts w:ascii="方正黑体简体" w:eastAsia="方正黑体简体" w:hAnsi="方正黑体简体" w:cs="方正黑体简体"/>
          <w:bCs/>
          <w:szCs w:val="24"/>
        </w:rPr>
        <w:sectPr w:rsidR="008A68E5">
          <w:headerReference w:type="default" r:id="rId12"/>
          <w:footerReference w:type="defaul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方正黑体简体" w:eastAsia="方正黑体简体" w:hAnsi="方正黑体简体" w:cs="方正黑体简体" w:hint="eastAsia"/>
          <w:bCs/>
          <w:szCs w:val="24"/>
        </w:rPr>
        <w:fldChar w:fldCharType="end"/>
      </w: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8A68E5" w:rsidRDefault="008A68E5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  <w:sectPr w:rsidR="008A68E5">
          <w:footerReference w:type="default" r:id="rId14"/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A68E5" w:rsidRDefault="00DD7A4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1" w:name="_Toc9755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业务操作指引</w:t>
      </w:r>
      <w:bookmarkEnd w:id="1"/>
    </w:p>
    <w:p w:rsidR="008A68E5" w:rsidRDefault="00DD7A4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2" w:name="_Toc26108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系统登录</w:t>
      </w:r>
      <w:bookmarkEnd w:id="2"/>
    </w:p>
    <w:p w:rsidR="008A68E5" w:rsidRDefault="00DD7A4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用户通过大商所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官网进入期转现平台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登录页面。为了达到最佳的用户体验，请尽量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使用谷歌浏览器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登录。</w:t>
      </w:r>
    </w:p>
    <w:p w:rsidR="008A68E5" w:rsidRDefault="00DD7A47">
      <w:pPr>
        <w:spacing w:beforeLines="50" w:before="156" w:afterLines="50" w:after="156" w:line="264" w:lineRule="auto"/>
        <w:jc w:val="center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4561205" cy="2172970"/>
            <wp:effectExtent l="0" t="0" r="1079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1205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3" w:name="_Toc9786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用户角色</w:t>
      </w:r>
      <w:bookmarkEnd w:id="3"/>
    </w:p>
    <w:p w:rsidR="008A68E5" w:rsidRDefault="00DD7A47">
      <w:pPr>
        <w:spacing w:beforeLines="50" w:before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已在期货市场上开户的单位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可以在期转现平台进行注册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。通过登录页面的“我要注册”进行注册。客户申请后，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需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所在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会员进行审批后方可使用用户名密码登录。</w:t>
      </w:r>
    </w:p>
    <w:p w:rsidR="008A68E5" w:rsidRDefault="00DD7A47">
      <w:pPr>
        <w:spacing w:beforeLines="50" w:before="156" w:line="264" w:lineRule="auto"/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266690" cy="2655570"/>
            <wp:effectExtent l="0" t="0" r="10160" b="11430"/>
            <wp:docPr id="134" name="图片 6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60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8A68E5"/>
    <w:p w:rsidR="008A68E5" w:rsidRDefault="00DD7A4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4" w:name="_Toc200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工作台功能介绍</w:t>
      </w:r>
      <w:bookmarkEnd w:id="4"/>
    </w:p>
    <w:p w:rsidR="008A68E5" w:rsidRDefault="00DD7A4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1145540</wp:posOffset>
            </wp:positionV>
            <wp:extent cx="5260975" cy="2671445"/>
            <wp:effectExtent l="0" t="0" r="0" b="0"/>
            <wp:wrapTopAndBottom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用户登录系统后，首页展示工作台内容。</w:t>
      </w:r>
    </w:p>
    <w:p w:rsidR="008A68E5" w:rsidRDefault="00DD7A4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7165"/>
            <wp:effectExtent l="0" t="0" r="10160" b="6985"/>
            <wp:docPr id="32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56"/>
                    <pic:cNvPicPr>
                      <a:picLocks noChangeAspect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5" w:name="_Toc22089"/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3.1.</w:t>
      </w:r>
      <w:hyperlink w:anchor="_Toc25541" w:history="1"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待办任务</w:t>
        </w:r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已</w:t>
        </w:r>
        <w:proofErr w:type="gramStart"/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办任务</w:t>
        </w:r>
        <w:proofErr w:type="gramEnd"/>
      </w:hyperlink>
      <w:bookmarkEnd w:id="5"/>
    </w:p>
    <w:p w:rsidR="008A68E5" w:rsidRDefault="00DD7A47">
      <w:pPr>
        <w:spacing w:beforeLines="50" w:before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工作台的左上角任务模块，显示当前登录用户的待办任务和已办任务：点击待办任务会进入对应的操作页面，操作完成后在已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办任务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中可进行查询。</w:t>
      </w:r>
    </w:p>
    <w:p w:rsidR="008A68E5" w:rsidRDefault="00DD7A4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9705"/>
            <wp:effectExtent l="0" t="0" r="10160" b="4445"/>
            <wp:docPr id="31" name="图片 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IMG_256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" w:name="_Toc17048"/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3.2.</w:t>
      </w:r>
      <w:hyperlink w:anchor="_Toc13246" w:history="1"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业务办理</w:t>
        </w:r>
      </w:hyperlink>
      <w:bookmarkEnd w:id="6"/>
    </w:p>
    <w:p w:rsidR="008A68E5" w:rsidRDefault="00DD7A47">
      <w:pPr>
        <w:spacing w:afterLines="50" w:after="156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可通过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业务办理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区域进入相应操作菜单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，包括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公共业务包括资金管理、期转现管理、信息设置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、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现货业务、标准仓单业务操作及报表查询。</w:t>
      </w:r>
    </w:p>
    <w:p w:rsidR="008A68E5" w:rsidRDefault="00DD7A47">
      <w:pPr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7165"/>
            <wp:effectExtent l="0" t="0" r="10160" b="6985"/>
            <wp:docPr id="33" name="图片 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56"/>
                    <pic:cNvPicPr>
                      <a:picLocks noChangeAspect="1"/>
                    </pic:cNvPicPr>
                  </pic:nvPicPr>
                  <pic:blipFill>
                    <a:blip r:embed="rId22" r:link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7" w:name="_Toc8759"/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3.3.</w:t>
      </w:r>
      <w:hyperlink w:anchor="_Toc2361" w:history="1">
        <w:r>
          <w:rPr>
            <w:rFonts w:ascii="方正黑体简体" w:eastAsia="方正黑体简体" w:hAnsi="方正黑体简体" w:cs="方正黑体简体" w:hint="eastAsia"/>
            <w:b w:val="0"/>
            <w:bCs w:val="0"/>
            <w:color w:val="0070C0"/>
            <w:sz w:val="24"/>
            <w:szCs w:val="24"/>
          </w:rPr>
          <w:t>常用功能</w:t>
        </w:r>
      </w:hyperlink>
      <w:bookmarkEnd w:id="7"/>
    </w:p>
    <w:p w:rsidR="008A68E5" w:rsidRDefault="00DD7A4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常用功能设置可通过点击业务办理中菜单前面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的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+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”号进行添加，，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并可通过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点击</w:t>
      </w:r>
      <w:r>
        <w:rPr>
          <w:rFonts w:ascii="方正黑体简体" w:eastAsia="方正黑体简体" w:hAnsi="方正黑体简体" w:cs="方正黑体简体" w:hint="eastAsia"/>
          <w:noProof/>
          <w:color w:val="333333"/>
          <w:szCs w:val="24"/>
        </w:rPr>
        <w:drawing>
          <wp:inline distT="0" distB="0" distL="114300" distR="114300">
            <wp:extent cx="190500" cy="121920"/>
            <wp:effectExtent l="0" t="0" r="1270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2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图标取消常用功能菜单。</w:t>
      </w:r>
    </w:p>
    <w:p w:rsidR="008A68E5" w:rsidRDefault="00DD7A4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5420"/>
            <wp:effectExtent l="0" t="0" r="10160" b="17780"/>
            <wp:docPr id="34" name="图片 3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56"/>
                    <pic:cNvPicPr>
                      <a:picLocks noChangeAspect="1"/>
                    </pic:cNvPicPr>
                  </pic:nvPicPr>
                  <pic:blipFill>
                    <a:blip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8" w:name="_Toc2116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3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.4.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我的资产</w:t>
      </w:r>
      <w:bookmarkEnd w:id="8"/>
    </w:p>
    <w:p w:rsidR="008A68E5" w:rsidRDefault="00DD7A4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我的资产区域展示了资金、持仓、仓单、出入金、其他资金明细等。</w:t>
      </w:r>
    </w:p>
    <w:p w:rsidR="008A68E5" w:rsidRDefault="00DD7A47">
      <w:pPr>
        <w:pStyle w:val="12"/>
        <w:ind w:firstLineChars="0" w:firstLine="0"/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</w:instrText>
      </w:r>
      <w:r>
        <w:instrText>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 xml:space="preserve">/" \* MERGEFORMAT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31135"/>
            <wp:effectExtent l="0" t="0" r="10160" b="12065"/>
            <wp:docPr id="37" name="图片 3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256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3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9" w:name="_Toc23698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3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.5.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行情信息</w:t>
      </w:r>
      <w:bookmarkEnd w:id="9"/>
    </w:p>
    <w:p w:rsidR="008A68E5" w:rsidRDefault="00DD7A4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行情信息包括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报价行情和成交行情信息，可点击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订阅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选择想显示的行情信息，点击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与我相关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可选择查看全部行情信息或者与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我相关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的行情信息。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与我相关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行情信息中可查看详细合约、摘牌、联系等。</w:t>
      </w:r>
    </w:p>
    <w:p w:rsidR="008A68E5" w:rsidRDefault="00DD7A47">
      <w:pPr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7960"/>
            <wp:effectExtent l="0" t="0" r="10160" b="15240"/>
            <wp:docPr id="41" name="图片 4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IMG_256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10" w:name="_Toc449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3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.6.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业务提醒</w:t>
      </w:r>
      <w:bookmarkEnd w:id="10"/>
    </w:p>
    <w:p w:rsidR="008A68E5" w:rsidRDefault="00DD7A4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业务提醒区域显示交易日历及显示当前到期的合约。</w:t>
      </w:r>
    </w:p>
    <w:p w:rsidR="008A68E5" w:rsidRDefault="00DD7A47">
      <w:pPr>
        <w:rPr>
          <w:rFonts w:ascii="方正黑体简体" w:eastAsia="方正黑体简体" w:hAnsi="方正黑体简体" w:cs="方正黑体简体"/>
          <w:bCs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7960"/>
            <wp:effectExtent l="0" t="0" r="10160" b="15240"/>
            <wp:docPr id="42" name="图片 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256"/>
                    <pic:cNvPicPr>
                      <a:picLocks noChangeAspect="1"/>
                    </pic:cNvPicPr>
                  </pic:nvPicPr>
                  <pic:blipFill>
                    <a:blip r:embed="rId31" r:link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8A68E5" w:rsidRDefault="00DD7A4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11" w:name="_Toc1976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客户管理</w:t>
      </w:r>
      <w:bookmarkEnd w:id="11"/>
    </w:p>
    <w:p w:rsidR="008A68E5" w:rsidRDefault="00DD7A47">
      <w:pPr>
        <w:ind w:firstLineChars="200" w:firstLine="480"/>
        <w:jc w:val="left"/>
        <w:rPr>
          <w:rFonts w:ascii="方正黑体简体" w:eastAsia="方正黑体简体" w:hAnsi="方正黑体简体" w:cs="方正黑体简体"/>
          <w:bCs/>
          <w:sz w:val="32"/>
          <w:szCs w:val="32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提交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注册申请后，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需由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对应会员审批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通过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并为其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开通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业务权限和交易权限后，客户方可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参与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相应业务。</w:t>
      </w:r>
    </w:p>
    <w:p w:rsidR="008A68E5" w:rsidRDefault="00DD7A4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12" w:name="_Toc2111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资金管理</w:t>
      </w:r>
      <w:bookmarkEnd w:id="12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客户在期转现平台的可用资金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需要会员为其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分配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。资金划转完成后，客户可通过【公共业务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可用资金查询】，实时查询账户的资金情况。</w:t>
      </w:r>
    </w:p>
    <w:p w:rsidR="008A68E5" w:rsidRDefault="00DD7A47">
      <w:pPr>
        <w:rPr>
          <w:rFonts w:ascii="宋体" w:eastAsia="宋体" w:hAnsi="宋体" w:cs="宋体"/>
          <w:szCs w:val="24"/>
        </w:rPr>
      </w:pPr>
      <w:r>
        <w:rPr>
          <w:noProof/>
        </w:rPr>
        <w:drawing>
          <wp:inline distT="0" distB="0" distL="114300" distR="114300">
            <wp:extent cx="5258435" cy="2523490"/>
            <wp:effectExtent l="0" t="0" r="1206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8A68E5">
      <w:pPr>
        <w:pStyle w:val="1"/>
        <w:spacing w:beforeLines="50" w:before="156" w:afterLines="50" w:after="156" w:line="300" w:lineRule="auto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  <w:sectPr w:rsidR="008A68E5">
          <w:headerReference w:type="default" r:id="rId34"/>
          <w:footerReference w:type="default" r:id="rId35"/>
          <w:type w:val="continuous"/>
          <w:pgSz w:w="11906" w:h="16838"/>
          <w:pgMar w:top="1474" w:right="1800" w:bottom="1474" w:left="1800" w:header="851" w:footer="992" w:gutter="0"/>
          <w:pgNumType w:fmt="numberInDash" w:start="1"/>
          <w:cols w:space="0"/>
          <w:docGrid w:type="lines" w:linePitch="312"/>
        </w:sectPr>
      </w:pPr>
    </w:p>
    <w:p w:rsidR="008A68E5" w:rsidRDefault="00DD7A4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13" w:name="_Toc545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特定业务</w:t>
      </w:r>
      <w:bookmarkEnd w:id="13"/>
    </w:p>
    <w:p w:rsidR="008A68E5" w:rsidRDefault="00DD7A47">
      <w:pPr>
        <w:pStyle w:val="2"/>
        <w:numPr>
          <w:ilvl w:val="0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14" w:name="_Toc7929"/>
      <w:bookmarkStart w:id="15" w:name="_Toc15397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现货业务</w:t>
      </w:r>
      <w:bookmarkEnd w:id="14"/>
      <w:bookmarkEnd w:id="15"/>
    </w:p>
    <w:p w:rsidR="008A68E5" w:rsidRDefault="00DD7A4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16" w:name="_Toc2229"/>
      <w:bookmarkStart w:id="17" w:name="_Toc23758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基差交易</w:t>
      </w:r>
      <w:bookmarkEnd w:id="16"/>
      <w:bookmarkEnd w:id="17"/>
      <w:proofErr w:type="gramEnd"/>
    </w:p>
    <w:p w:rsidR="008A68E5" w:rsidRDefault="00DD7A47">
      <w:pPr>
        <w:pStyle w:val="3"/>
        <w:numPr>
          <w:ilvl w:val="2"/>
          <w:numId w:val="8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18" w:name="_Toc22088"/>
      <w:bookmarkStart w:id="19" w:name="_Toc2090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新建合约</w:t>
      </w:r>
      <w:bookmarkEnd w:id="18"/>
      <w:bookmarkEnd w:id="19"/>
    </w:p>
    <w:p w:rsidR="008A68E5" w:rsidRDefault="00DD7A47">
      <w:pPr>
        <w:ind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客户首页点击【其他业务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其他现货交易】菜单，点击新建合约，选择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基差交易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按钮。</w:t>
      </w:r>
    </w:p>
    <w:p w:rsidR="008A68E5" w:rsidRDefault="00DD7A47">
      <w:pPr>
        <w:spacing w:line="440" w:lineRule="exact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注：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1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、结算方式只能选择自行结算，由交易双方自行结算资金和完成交收。</w:t>
      </w:r>
    </w:p>
    <w:p w:rsidR="008A68E5" w:rsidRDefault="00DD7A47">
      <w:pPr>
        <w:spacing w:line="440" w:lineRule="exact"/>
        <w:ind w:firstLineChars="200" w:firstLine="480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2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、支持豆一、豆二、玉米、玉米淀粉、豆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粕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、棕榈油、豆油、粳米、鸡蛋、生猪、乙二醇、聚乙烯、聚丙烯、聚氯乙烯、铁矿石、焦炭、焦煤品种交易。不支持液化石油气、苯乙烯、纤维板、胶合板品种交易。</w:t>
      </w:r>
    </w:p>
    <w:p w:rsidR="008A68E5" w:rsidRDefault="00DD7A47">
      <w:pPr>
        <w:rPr>
          <w:rFonts w:ascii="宋体" w:eastAsia="宋体" w:hAnsi="宋体" w:cs="宋体"/>
          <w:szCs w:val="24"/>
        </w:rPr>
      </w:pP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326380" cy="2671445"/>
            <wp:effectExtent l="0" t="0" r="7620" b="14605"/>
            <wp:docPr id="1722016193" name="图片 172201619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016193" name="图片 1722016193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rPr>
          <w:rFonts w:ascii="宋体" w:eastAsia="宋体" w:hAnsi="宋体" w:cs="宋体"/>
          <w:szCs w:val="24"/>
        </w:rPr>
      </w:pPr>
      <w:r>
        <w:rPr>
          <w:noProof/>
        </w:rPr>
        <w:drawing>
          <wp:inline distT="0" distB="0" distL="114300" distR="114300">
            <wp:extent cx="5260340" cy="2535555"/>
            <wp:effectExtent l="0" t="0" r="16510" b="1714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8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20" w:name="_Toc11885"/>
      <w:bookmarkStart w:id="21" w:name="_Toc2606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发布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摘牌</w:t>
      </w:r>
      <w:bookmarkEnd w:id="20"/>
      <w:bookmarkEnd w:id="21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合约新建完成后，选择待发布的合约，可对合约进行修改，或者直接发布。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529205"/>
            <wp:effectExtent l="0" t="0" r="10160" b="4445"/>
            <wp:docPr id="1882311257" name="图片 188231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311257" name="图片 188231125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已发布的合约如果合约创建有误或者不想继续向下处理，可对合约进行摘牌处理，选择发布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摘牌按钮进行摘牌操作。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556510"/>
            <wp:effectExtent l="0" t="0" r="10160" b="15240"/>
            <wp:docPr id="415124173" name="图片 415124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124173" name="图片 41512417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8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22" w:name="_Toc32728"/>
      <w:bookmarkStart w:id="23" w:name="_Toc1118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报价</w:t>
      </w:r>
      <w:bookmarkEnd w:id="22"/>
      <w:bookmarkEnd w:id="23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选择一条已发布的合约，点击“报价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平仓”按钮进行报价。</w:t>
      </w:r>
    </w:p>
    <w:p w:rsidR="008A68E5" w:rsidRDefault="00DD7A47">
      <w:r>
        <w:rPr>
          <w:noProof/>
        </w:rPr>
        <w:drawing>
          <wp:inline distT="0" distB="0" distL="114300" distR="114300">
            <wp:extent cx="5268595" cy="2548890"/>
            <wp:effectExtent l="0" t="0" r="8255" b="381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8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24" w:name="_Toc26804"/>
      <w:bookmarkStart w:id="25" w:name="_Toc95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下单响应</w:t>
      </w:r>
      <w:bookmarkEnd w:id="24"/>
      <w:bookmarkEnd w:id="25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对手方客户可选择状态为已报价的合约进行响应，响应成功后达成成交。该条合约可在【其他业务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合约查询】中查看。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72080"/>
            <wp:effectExtent l="0" t="0" r="10160" b="13970"/>
            <wp:docPr id="414338015" name="图片 414338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338015" name="图片 4143380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26" w:name="_Toc11381"/>
      <w:bookmarkStart w:id="27" w:name="_Toc5812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固定价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</w:t>
      </w:r>
      <w:bookmarkEnd w:id="26"/>
      <w:bookmarkEnd w:id="27"/>
    </w:p>
    <w:p w:rsidR="008A68E5" w:rsidRDefault="00DD7A47">
      <w:pPr>
        <w:pStyle w:val="3"/>
        <w:numPr>
          <w:ilvl w:val="2"/>
          <w:numId w:val="9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  <w:shd w:val="clear" w:color="auto" w:fill="00B050"/>
        </w:rPr>
      </w:pPr>
      <w:bookmarkStart w:id="28" w:name="_Toc4910"/>
      <w:bookmarkStart w:id="29" w:name="_Toc2199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新建合约</w:t>
      </w:r>
      <w:bookmarkEnd w:id="28"/>
      <w:bookmarkEnd w:id="29"/>
    </w:p>
    <w:p w:rsidR="008A68E5" w:rsidRDefault="00DD7A47">
      <w:pPr>
        <w:ind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客户首页点击【其他业务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其他现货交易】菜单，点击新建合约，选择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固定价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交易按钮。</w:t>
      </w:r>
    </w:p>
    <w:p w:rsidR="008A68E5" w:rsidRDefault="00DD7A47">
      <w:pPr>
        <w:spacing w:line="440" w:lineRule="exact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注：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1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、结算方式只能选择自行结算，由交易双方自行结算资金和完成交收。</w:t>
      </w:r>
    </w:p>
    <w:p w:rsidR="008A68E5" w:rsidRDefault="00DD7A47">
      <w:pPr>
        <w:spacing w:line="440" w:lineRule="exact"/>
        <w:ind w:firstLineChars="200" w:firstLine="480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2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、支持豆一、豆二、玉米、玉米淀粉、豆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粕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、棕榈油、豆油、粳米、鸡蛋、生猪、乙二醇、聚乙烯、聚丙烯、聚氯乙烯、铁矿石、焦炭、焦煤品种交易。不支持液化石油气、苯乙烯、纤维板、胶合板品种交易。</w:t>
      </w:r>
    </w:p>
    <w:p w:rsidR="008A68E5" w:rsidRDefault="00DD7A4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326380" cy="2671445"/>
            <wp:effectExtent l="0" t="0" r="7620" b="14605"/>
            <wp:docPr id="936165444" name="图片 93616544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65444" name="图片 936165444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287645" cy="2671445"/>
            <wp:effectExtent l="0" t="0" r="8255" b="14605"/>
            <wp:docPr id="347129973" name="图片 34712997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129973" name="图片 347129973" descr="IMG_25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9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30" w:name="_Toc3063"/>
      <w:bookmarkStart w:id="31" w:name="_Toc2500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发布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摘牌</w:t>
      </w:r>
      <w:bookmarkEnd w:id="30"/>
      <w:bookmarkEnd w:id="31"/>
    </w:p>
    <w:p w:rsidR="008A68E5" w:rsidRDefault="00DD7A4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客户勾选待发布的合约，点击“发布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摘牌”进入合约页面，选择发布，完成合约的发布，同时也可以对合约进行修改。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77160"/>
            <wp:effectExtent l="0" t="0" r="10160" b="8890"/>
            <wp:docPr id="702388573" name="图片 702388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388573" name="图片 70238857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客户勾选已发布的合约，点击“发布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摘牌”进入合约页面，可以进行摘牌。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82875"/>
            <wp:effectExtent l="0" t="0" r="10160" b="317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9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32" w:name="_Toc9122"/>
      <w:bookmarkStart w:id="33" w:name="_Toc1489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报价</w:t>
      </w:r>
      <w:bookmarkEnd w:id="32"/>
      <w:bookmarkEnd w:id="33"/>
    </w:p>
    <w:p w:rsidR="008A68E5" w:rsidRDefault="00DD7A47"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客户勾选已发布的合约，点击“报价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平仓”进入合约页面，可以对合约进行报价。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82875"/>
            <wp:effectExtent l="0" t="0" r="10160" b="3175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9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34" w:name="_Toc22546"/>
      <w:bookmarkStart w:id="35" w:name="_Toc18326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下单响应</w:t>
      </w:r>
      <w:bookmarkEnd w:id="34"/>
      <w:bookmarkEnd w:id="35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对手方客户可选择状态为已报价的合约进行响应，响应成功后达成成交。该条合约可在【其他业务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合约查询】中查看。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74620"/>
            <wp:effectExtent l="0" t="0" r="10160" b="11430"/>
            <wp:docPr id="1713963111" name="图片 171396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963111" name="图片 17139631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6" w:name="_Toc31856"/>
      <w:bookmarkStart w:id="37" w:name="_Toc980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合约查询</w:t>
      </w:r>
      <w:bookmarkEnd w:id="36"/>
      <w:bookmarkEnd w:id="37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合约查询】菜单，可查看合约信息。</w:t>
      </w:r>
    </w:p>
    <w:p w:rsidR="008A68E5" w:rsidRDefault="00DD7A4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8" w:name="_Toc5893"/>
      <w:bookmarkStart w:id="39" w:name="_Toc3066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交易查询</w:t>
      </w:r>
      <w:bookmarkEnd w:id="38"/>
      <w:bookmarkEnd w:id="39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交易查询】菜单，可查看委托、成交等信息。</w:t>
      </w:r>
    </w:p>
    <w:p w:rsidR="008A68E5" w:rsidRDefault="00DD7A4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40" w:name="_Toc32491"/>
      <w:bookmarkStart w:id="41" w:name="_Toc2727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日结算报表</w:t>
      </w:r>
      <w:bookmarkEnd w:id="40"/>
      <w:bookmarkEnd w:id="41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日结算报表】菜单，可在每日结算后查看当日的成交、资金等信息。</w:t>
      </w:r>
    </w:p>
    <w:p w:rsidR="008A68E5" w:rsidRDefault="008A68E5">
      <w:pPr>
        <w:jc w:val="left"/>
      </w:pPr>
    </w:p>
    <w:p w:rsidR="008A68E5" w:rsidRDefault="00DD7A47">
      <w:pPr>
        <w:pStyle w:val="2"/>
        <w:numPr>
          <w:ilvl w:val="0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42" w:name="_Toc23071"/>
      <w:bookmarkStart w:id="43" w:name="_Toc9843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标准仓单</w:t>
      </w:r>
      <w:bookmarkEnd w:id="42"/>
      <w:bookmarkEnd w:id="43"/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color w:val="333333"/>
          <w:sz w:val="24"/>
          <w:szCs w:val="24"/>
        </w:rPr>
      </w:pPr>
      <w:bookmarkStart w:id="44" w:name="_Toc1858"/>
      <w:bookmarkStart w:id="45" w:name="_Toc4390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2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.1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我的仓单</w:t>
      </w:r>
      <w:bookmarkEnd w:id="44"/>
      <w:bookmarkEnd w:id="45"/>
    </w:p>
    <w:p w:rsidR="008A68E5" w:rsidRDefault="00DD7A47">
      <w:pPr>
        <w:pStyle w:val="3"/>
        <w:numPr>
          <w:ilvl w:val="2"/>
          <w:numId w:val="10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46" w:name="_Toc20015"/>
      <w:bookmarkStart w:id="47" w:name="_Toc2971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仓单登记</w:t>
      </w:r>
      <w:bookmarkEnd w:id="46"/>
      <w:bookmarkEnd w:id="47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我的仓单】菜单，将场内仓单登记到期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，业务类型选择交易登记，可进行查询。</w:t>
      </w:r>
    </w:p>
    <w:p w:rsidR="008A68E5" w:rsidRDefault="00DD7A47">
      <w:pPr>
        <w:spacing w:line="400" w:lineRule="exact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注：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1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、保税仓单不支持登记到期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转现平台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。</w:t>
      </w:r>
    </w:p>
    <w:p w:rsidR="008A68E5" w:rsidRDefault="00DD7A47">
      <w:pPr>
        <w:numPr>
          <w:ilvl w:val="0"/>
          <w:numId w:val="11"/>
        </w:numPr>
        <w:ind w:firstLineChars="200" w:firstLine="480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支持豆一、玉米、玉米淀粉、豆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粕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、棕榈油、豆油、乙二醇、聚乙烯、聚丙烯、聚氯乙烯、铁矿石品种登记到期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转现平台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开展交易</w:t>
      </w: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。</w:t>
      </w:r>
    </w:p>
    <w:p w:rsidR="008A68E5" w:rsidRDefault="00DD7A47">
      <w:pPr>
        <w:numPr>
          <w:ilvl w:val="0"/>
          <w:numId w:val="11"/>
        </w:numPr>
        <w:ind w:firstLineChars="200" w:firstLine="480"/>
        <w:rPr>
          <w:rFonts w:ascii="方正黑体简体" w:eastAsia="方正黑体简体" w:hAnsi="方正黑体简体" w:cs="方正黑体简体"/>
          <w:color w:val="C0504D" w:themeColor="accent2"/>
          <w:szCs w:val="24"/>
        </w:rPr>
      </w:pPr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仓单登记到期</w:t>
      </w:r>
      <w:proofErr w:type="gramStart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转现平台</w:t>
      </w:r>
      <w:proofErr w:type="gramEnd"/>
      <w:r>
        <w:rPr>
          <w:rFonts w:ascii="方正黑体简体" w:eastAsia="方正黑体简体" w:hAnsi="方正黑体简体" w:cs="方正黑体简体" w:hint="eastAsia"/>
          <w:color w:val="C0504D" w:themeColor="accent2"/>
          <w:szCs w:val="24"/>
        </w:rPr>
        <w:t>后，如想在场外交易平台交易，需要先解除交易登记，然后登录场外交易平台，将仓单登记到场外交易平台。</w:t>
      </w:r>
    </w:p>
    <w:p w:rsidR="008A68E5" w:rsidRDefault="00DD7A47">
      <w:r>
        <w:rPr>
          <w:noProof/>
        </w:rPr>
        <w:drawing>
          <wp:inline distT="0" distB="0" distL="114300" distR="114300">
            <wp:extent cx="5264150" cy="2666365"/>
            <wp:effectExtent l="0" t="0" r="12700" b="635"/>
            <wp:docPr id="2101433292" name="图片 210143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433292" name="图片 210143329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ind w:firstLineChars="200" w:firstLine="480"/>
        <w:rPr>
          <w:shd w:val="clear" w:color="auto" w:fill="00B050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点击【登记申请】按钮进行仓单登记，勾选对应仓单，点击“录入”，成功后业务类型选择交易登记可在我的仓单中查看，勾选该条记录，点击“复核”，完成登记申请。</w:t>
      </w:r>
    </w:p>
    <w:p w:rsidR="008A68E5" w:rsidRDefault="00DD7A47">
      <w:r>
        <w:rPr>
          <w:noProof/>
        </w:rPr>
        <w:drawing>
          <wp:inline distT="0" distB="0" distL="114300" distR="114300">
            <wp:extent cx="5268595" cy="2670175"/>
            <wp:effectExtent l="0" t="0" r="8255" b="15875"/>
            <wp:docPr id="719552905" name="图片 719552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552905" name="图片 71955290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noProof/>
        </w:rPr>
        <w:drawing>
          <wp:inline distT="0" distB="0" distL="114300" distR="114300">
            <wp:extent cx="5264150" cy="2677160"/>
            <wp:effectExtent l="0" t="0" r="12700" b="8890"/>
            <wp:docPr id="1916910496" name="图片 1916910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910496" name="图片 191691049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10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48" w:name="_Toc32667"/>
      <w:bookmarkStart w:id="49" w:name="_Toc2212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解除登记</w:t>
      </w:r>
      <w:bookmarkEnd w:id="48"/>
      <w:bookmarkEnd w:id="49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我的仓单】菜单，将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仓单登回到场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内。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055" cy="2675890"/>
            <wp:effectExtent l="0" t="0" r="10795" b="1016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点击【解除申请】按钮将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仓单登回到场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内，勾选对应仓单，点击“录入”，成功后业务类型选择解除登记可在我的仓单中查看，勾选该条记录，点击“复核”，完成登记解除。</w:t>
      </w:r>
    </w:p>
    <w:p w:rsidR="008A68E5" w:rsidRDefault="00DD7A47">
      <w:r>
        <w:rPr>
          <w:noProof/>
        </w:rPr>
        <w:drawing>
          <wp:inline distT="0" distB="0" distL="114300" distR="114300">
            <wp:extent cx="5264150" cy="2658110"/>
            <wp:effectExtent l="0" t="0" r="12700" b="8890"/>
            <wp:docPr id="912738925" name="图片 912738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738925" name="图片 91273892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noProof/>
        </w:rPr>
        <w:drawing>
          <wp:inline distT="0" distB="0" distL="114300" distR="114300">
            <wp:extent cx="5258435" cy="2660650"/>
            <wp:effectExtent l="0" t="0" r="18415" b="6350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50" w:name="_Toc3750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2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 xml:space="preserve">.2. </w:t>
      </w:r>
      <w:bookmarkStart w:id="51" w:name="_Toc1023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标准仓单交易</w:t>
      </w:r>
      <w:bookmarkEnd w:id="50"/>
      <w:bookmarkEnd w:id="51"/>
    </w:p>
    <w:p w:rsidR="008A68E5" w:rsidRDefault="00DD7A47">
      <w:pPr>
        <w:pStyle w:val="3"/>
        <w:numPr>
          <w:ilvl w:val="2"/>
          <w:numId w:val="12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52" w:name="_Toc1632"/>
      <w:bookmarkStart w:id="53" w:name="_Toc1921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挂牌录入</w:t>
      </w:r>
      <w:bookmarkEnd w:id="52"/>
      <w:bookmarkEnd w:id="53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标准仓单交易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转让】菜单，进入交易页面，点击挂牌录入。</w:t>
      </w:r>
    </w:p>
    <w:p w:rsidR="008A68E5" w:rsidRDefault="00DD7A47">
      <w:r>
        <w:rPr>
          <w:noProof/>
        </w:rPr>
        <w:drawing>
          <wp:inline distT="0" distB="0" distL="114300" distR="114300">
            <wp:extent cx="5261610" cy="2649855"/>
            <wp:effectExtent l="0" t="0" r="15240" b="17145"/>
            <wp:docPr id="4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noProof/>
        </w:rPr>
        <w:drawing>
          <wp:inline distT="0" distB="0" distL="114300" distR="114300">
            <wp:extent cx="5264150" cy="2674620"/>
            <wp:effectExtent l="0" t="0" r="12700" b="11430"/>
            <wp:docPr id="4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spacing w:line="400" w:lineRule="exact"/>
        <w:rPr>
          <w:rFonts w:ascii="方正黑体简体" w:eastAsia="方正黑体简体" w:hAnsi="方正黑体简体" w:cs="方正黑体简体"/>
          <w:color w:val="C00000"/>
          <w:szCs w:val="24"/>
        </w:rPr>
      </w:pP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注：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1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、不支持保税仓单交易</w:t>
      </w:r>
    </w:p>
    <w:p w:rsidR="008A68E5" w:rsidRDefault="00DD7A47">
      <w:pPr>
        <w:numPr>
          <w:ilvl w:val="0"/>
          <w:numId w:val="13"/>
        </w:numPr>
        <w:spacing w:line="400" w:lineRule="exact"/>
        <w:rPr>
          <w:rFonts w:ascii="方正黑体简体" w:eastAsia="方正黑体简体" w:hAnsi="方正黑体简体" w:cs="方正黑体简体"/>
          <w:color w:val="C00000"/>
          <w:szCs w:val="24"/>
        </w:rPr>
      </w:pP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挂牌录入时，“是否指定对手方”如选择“否”，则为公开挂牌交易（全市场客户均可摘牌），该种交易方式下“是否交易所结算”默认为“是”。</w:t>
      </w:r>
    </w:p>
    <w:p w:rsidR="008A68E5" w:rsidRDefault="00DD7A47">
      <w:pPr>
        <w:spacing w:line="400" w:lineRule="exact"/>
        <w:ind w:left="480"/>
        <w:rPr>
          <w:rFonts w:ascii="方正黑体简体" w:eastAsia="方正黑体简体" w:hAnsi="方正黑体简体" w:cs="方正黑体简体"/>
          <w:color w:val="C00000"/>
          <w:szCs w:val="24"/>
        </w:rPr>
      </w:pP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“是否指定对手方”如选择“是”，则需录入对手方期货客户号（仅指定对手方可摘牌），该种交易方式下“是否交易所结算”可根据需要选择“是”或者“否”。</w:t>
      </w:r>
    </w:p>
    <w:p w:rsidR="008A68E5" w:rsidRDefault="00DD7A47">
      <w:pPr>
        <w:spacing w:line="400" w:lineRule="exact"/>
        <w:ind w:left="480"/>
        <w:rPr>
          <w:rFonts w:ascii="方正黑体简体" w:eastAsia="方正黑体简体" w:hAnsi="方正黑体简体" w:cs="方正黑体简体"/>
          <w:color w:val="C00000"/>
          <w:szCs w:val="24"/>
        </w:rPr>
      </w:pP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3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、“是否交易所结算”处勾选“是”，则为交易所结算（场内结算），买方摘牌后需联系会员审批，交易所审批后，在闭市结算时进行货款处理与仓单过户。</w:t>
      </w:r>
    </w:p>
    <w:p w:rsidR="008A68E5" w:rsidRDefault="00DD7A47">
      <w:pPr>
        <w:spacing w:line="400" w:lineRule="exact"/>
        <w:ind w:left="480"/>
        <w:rPr>
          <w:rFonts w:ascii="方正黑体简体" w:eastAsia="方正黑体简体" w:hAnsi="方正黑体简体" w:cs="方正黑体简体"/>
          <w:color w:val="C00000"/>
          <w:szCs w:val="24"/>
        </w:rPr>
      </w:pP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4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、“是否交易所结算”处勾选“否”，则为自行结算，买方摘牌响应（响应卖挂牌）后即完成标准仓单过户，无需会员审核，交易所不负责资金划转。</w:t>
      </w:r>
    </w:p>
    <w:p w:rsidR="008A68E5" w:rsidRDefault="00DD7A47">
      <w:pPr>
        <w:pStyle w:val="3"/>
        <w:numPr>
          <w:ilvl w:val="2"/>
          <w:numId w:val="12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54" w:name="_Toc21935"/>
      <w:bookmarkStart w:id="55" w:name="_Toc17493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复核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撤销</w:t>
      </w:r>
      <w:bookmarkEnd w:id="54"/>
      <w:bookmarkEnd w:id="55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选中录入数据，点击复核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撤销</w:t>
      </w:r>
    </w:p>
    <w:p w:rsidR="008A68E5" w:rsidRDefault="00DD7A47">
      <w:r>
        <w:rPr>
          <w:noProof/>
        </w:rPr>
        <w:drawing>
          <wp:inline distT="0" distB="0" distL="114300" distR="114300">
            <wp:extent cx="5263515" cy="2656205"/>
            <wp:effectExtent l="0" t="0" r="13335" b="10795"/>
            <wp:docPr id="4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690" cy="2663825"/>
            <wp:effectExtent l="0" t="0" r="10160" b="3175"/>
            <wp:docPr id="4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3"/>
        <w:numPr>
          <w:ilvl w:val="2"/>
          <w:numId w:val="12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56" w:name="_Toc18364"/>
      <w:bookmarkStart w:id="57" w:name="_Toc1666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响应卖挂牌</w:t>
      </w:r>
      <w:bookmarkEnd w:id="56"/>
      <w:bookmarkEnd w:id="57"/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卖方挂牌后，买方点击响应卖挂牌进行响应。</w:t>
      </w:r>
    </w:p>
    <w:p w:rsidR="008A68E5" w:rsidRDefault="00DD7A47">
      <w:r>
        <w:rPr>
          <w:noProof/>
        </w:rPr>
        <w:drawing>
          <wp:inline distT="0" distB="0" distL="114300" distR="114300">
            <wp:extent cx="5258435" cy="2677160"/>
            <wp:effectExtent l="0" t="0" r="18415" b="8890"/>
            <wp:docPr id="4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注：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1</w:t>
      </w:r>
      <w:r>
        <w:rPr>
          <w:rFonts w:ascii="方正黑体简体" w:eastAsia="方正黑体简体" w:hAnsi="方正黑体简体" w:cs="方正黑体简体" w:hint="eastAsia"/>
          <w:color w:val="C00000"/>
          <w:szCs w:val="24"/>
        </w:rPr>
        <w:t>、如为场内结算，在响应时，可选择自动登记回场内。</w:t>
      </w:r>
    </w:p>
    <w:p w:rsidR="008A68E5" w:rsidRDefault="00DD7A47">
      <w:pPr>
        <w:pStyle w:val="3"/>
        <w:numPr>
          <w:ilvl w:val="2"/>
          <w:numId w:val="12"/>
        </w:numPr>
        <w:spacing w:before="156" w:after="156"/>
        <w:rPr>
          <w:rFonts w:ascii="方正黑体简体" w:eastAsia="方正黑体简体" w:hAnsi="方正黑体简体" w:cs="方正黑体简体"/>
          <w:b w:val="0"/>
          <w:bCs w:val="0"/>
          <w:color w:val="0070C0"/>
          <w:szCs w:val="24"/>
        </w:rPr>
      </w:pPr>
      <w:bookmarkStart w:id="58" w:name="_Toc16292"/>
      <w:bookmarkStart w:id="59" w:name="_Toc26843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Cs w:val="24"/>
        </w:rPr>
        <w:t>发布买挂牌</w:t>
      </w:r>
      <w:bookmarkEnd w:id="58"/>
      <w:bookmarkEnd w:id="59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支持买方挂牌，买方可发布买挂牌需求，录入信息后点击买方信息发布。</w:t>
      </w:r>
    </w:p>
    <w:p w:rsidR="008A68E5" w:rsidRDefault="00DD7A4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266690" cy="2666365"/>
            <wp:effectExtent l="0" t="0" r="10160" b="635"/>
            <wp:docPr id="4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卖方响应买挂牌并对该条记录复核。</w:t>
      </w:r>
    </w:p>
    <w:p w:rsidR="008A68E5" w:rsidRDefault="00DD7A47">
      <w:r>
        <w:rPr>
          <w:noProof/>
        </w:rPr>
        <w:drawing>
          <wp:inline distT="0" distB="0" distL="114300" distR="114300">
            <wp:extent cx="5266690" cy="2677160"/>
            <wp:effectExtent l="0" t="0" r="10160" b="8890"/>
            <wp:docPr id="4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卖方响应后需要买方再进入响应卖挂牌进行响应即可达成成交。</w:t>
      </w:r>
    </w:p>
    <w:p w:rsidR="008A68E5" w:rsidRDefault="00DD7A47">
      <w:r>
        <w:rPr>
          <w:noProof/>
        </w:rPr>
        <w:drawing>
          <wp:inline distT="0" distB="0" distL="114300" distR="114300">
            <wp:extent cx="5264150" cy="2668905"/>
            <wp:effectExtent l="0" t="0" r="12700" b="17145"/>
            <wp:docPr id="5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0" w:name="_Toc20432"/>
      <w:bookmarkStart w:id="61" w:name="_Toc2553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2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.3.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仓单交易信息查询</w:t>
      </w:r>
      <w:bookmarkEnd w:id="60"/>
      <w:bookmarkEnd w:id="61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仓单交易信息查询】菜单，可查看仓单成交信息和交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收资金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信息。</w:t>
      </w:r>
    </w:p>
    <w:p w:rsidR="008A68E5" w:rsidRDefault="00DD7A47">
      <w:pPr>
        <w:pStyle w:val="2"/>
        <w:numPr>
          <w:ilvl w:val="0"/>
          <w:numId w:val="0"/>
        </w:numPr>
        <w:rPr>
          <w:rFonts w:ascii="方正黑体简体" w:eastAsia="方正黑体简体" w:hAnsi="方正黑体简体" w:cs="方正黑体简体"/>
          <w:color w:val="333333"/>
          <w:sz w:val="24"/>
          <w:szCs w:val="24"/>
        </w:rPr>
      </w:pPr>
      <w:bookmarkStart w:id="62" w:name="_Toc27542"/>
      <w:bookmarkStart w:id="63" w:name="_Toc23908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2</w:t>
      </w:r>
      <w: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  <w:t>.4.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日报表查询</w:t>
      </w:r>
      <w:bookmarkEnd w:id="62"/>
      <w:bookmarkEnd w:id="63"/>
    </w:p>
    <w:p w:rsidR="008A68E5" w:rsidRDefault="00DD7A4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日报表查询】菜单，可在每日结算后查看当日成交、交收资金、结算资金等信息。</w:t>
      </w:r>
    </w:p>
    <w:p w:rsidR="008A68E5" w:rsidRDefault="008A68E5">
      <w:pPr>
        <w:sectPr w:rsidR="008A68E5">
          <w:headerReference w:type="default" r:id="rId61"/>
          <w:pgSz w:w="11906" w:h="16838"/>
          <w:pgMar w:top="1474" w:right="1800" w:bottom="1474" w:left="1800" w:header="851" w:footer="992" w:gutter="0"/>
          <w:pgNumType w:fmt="numberInDash"/>
          <w:cols w:space="0"/>
          <w:docGrid w:type="lines" w:linePitch="312"/>
        </w:sectPr>
      </w:pPr>
    </w:p>
    <w:p w:rsidR="008A68E5" w:rsidRDefault="00DD7A4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64" w:name="_Toc25158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期转现业务</w:t>
      </w:r>
      <w:bookmarkEnd w:id="64"/>
      <w:proofErr w:type="gramEnd"/>
    </w:p>
    <w:p w:rsidR="008A68E5" w:rsidRDefault="00DD7A47">
      <w:pPr>
        <w:pStyle w:val="2"/>
        <w:numPr>
          <w:ilvl w:val="0"/>
          <w:numId w:val="14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65" w:name="_Toc21279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申请</w:t>
      </w:r>
      <w:bookmarkEnd w:id="65"/>
    </w:p>
    <w:p w:rsidR="008A68E5" w:rsidRDefault="00DD7A47">
      <w:pPr>
        <w:autoSpaceDN w:val="0"/>
        <w:ind w:firstLine="420"/>
      </w:pP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可以由客户发起，也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可以由会员代客户发起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。若由客户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发起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则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期转现申请完成后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状态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显示为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为申请方客户发起，需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由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对应会员进行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审批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根据现货达成方式分为四类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：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期转现平台达成现端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交易、自行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、场外平台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、期现同时达成。</w:t>
      </w:r>
    </w:p>
    <w:p w:rsidR="008A68E5" w:rsidRDefault="00DD7A47">
      <w:pPr>
        <w:autoSpaceDN w:val="0"/>
      </w:pPr>
      <w:r>
        <w:rPr>
          <w:noProof/>
        </w:rPr>
        <w:drawing>
          <wp:inline distT="0" distB="0" distL="114300" distR="114300">
            <wp:extent cx="5273675" cy="2671445"/>
            <wp:effectExtent l="0" t="0" r="3175" b="146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14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6" w:name="_Toc17224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期转现平台达成现端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</w:t>
      </w:r>
      <w:bookmarkEnd w:id="66"/>
    </w:p>
    <w:p w:rsidR="008A68E5" w:rsidRDefault="00DD7A4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先在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达成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现货端交易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涉及的业务类型有：其他现货基差交易、其他现货</w:t>
      </w:r>
      <w:r>
        <w:rPr>
          <w:rFonts w:ascii="方正黑体简体" w:eastAsia="方正黑体简体" w:hAnsi="方正黑体简体" w:cs="方正黑体简体" w:hint="eastAsia"/>
          <w:szCs w:val="24"/>
        </w:rPr>
        <w:t>固定价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交易、仓单交易。会员点击【期转现管理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期转现申请】菜单，类别选择“期转现平台达成现端交易”。</w:t>
      </w:r>
    </w:p>
    <w:p w:rsidR="008A68E5" w:rsidRDefault="00DD7A47">
      <w:pPr>
        <w:autoSpaceDN w:val="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259705" cy="2677795"/>
            <wp:effectExtent l="0" t="0" r="17145" b="825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67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7" w:name="_Toc1001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1.2.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自行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达成现端交易</w:t>
      </w:r>
      <w:bookmarkEnd w:id="67"/>
      <w:proofErr w:type="gramEnd"/>
    </w:p>
    <w:p w:rsidR="008A68E5" w:rsidRDefault="00DD7A4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自行达成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自行达成现货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涉及的业务类型有：其他现货基差交易、其他现货</w:t>
      </w:r>
      <w:r>
        <w:rPr>
          <w:rFonts w:ascii="方正黑体简体" w:eastAsia="方正黑体简体" w:hAnsi="方正黑体简体" w:cs="方正黑体简体" w:hint="eastAsia"/>
          <w:szCs w:val="24"/>
        </w:rPr>
        <w:t>固定价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交易、仓单交易、商品互换、场外期权、其他。会员点击【期转现管理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选择“自行达成现端交易”。</w:t>
      </w:r>
    </w:p>
    <w:p w:rsidR="008A68E5" w:rsidRDefault="00DD7A47">
      <w:r>
        <w:rPr>
          <w:noProof/>
        </w:rPr>
        <w:drawing>
          <wp:inline distT="0" distB="0" distL="114300" distR="114300">
            <wp:extent cx="5499100" cy="2671445"/>
            <wp:effectExtent l="0" t="0" r="6350" b="14605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8" w:name="_Toc10577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1.3.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场外平台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达成现端交易</w:t>
      </w:r>
      <w:bookmarkEnd w:id="68"/>
      <w:proofErr w:type="gramEnd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场外平台达成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指交易双方在大连商品交易所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场外平台达成现货交易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涉及的业务类型有：其他现货基差交易、仓单交易、非标仓单。会员点击【期转现管理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选择“场外平台达成现端交易”。</w:t>
      </w:r>
    </w:p>
    <w:p w:rsidR="008A68E5" w:rsidRDefault="00DD7A47">
      <w:r>
        <w:rPr>
          <w:noProof/>
        </w:rPr>
        <w:drawing>
          <wp:inline distT="0" distB="0" distL="114300" distR="114300">
            <wp:extent cx="5462270" cy="2522855"/>
            <wp:effectExtent l="0" t="0" r="5080" b="10795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9" w:name="_Toc31110"/>
      <w:bookmarkStart w:id="70" w:name="_Toc2223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1.4.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期现同时达成</w:t>
      </w:r>
      <w:bookmarkEnd w:id="69"/>
      <w:bookmarkEnd w:id="70"/>
    </w:p>
    <w:p w:rsidR="008A68E5" w:rsidRDefault="00DD7A4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期现同时达成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指在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上申请同时完成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期货端和现货端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现货亿涉及的业务类型为：仓单交易。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选择“期转现平台达成现端交易”，并勾选“期货、现货同步处理”。</w:t>
      </w:r>
    </w:p>
    <w:p w:rsidR="008A68E5" w:rsidRDefault="00DD7A47">
      <w:pPr>
        <w:autoSpaceDN w:val="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263515" cy="2660650"/>
            <wp:effectExtent l="0" t="0" r="13335" b="635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6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0"/>
          <w:numId w:val="1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71" w:name="_Toc9400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确认</w:t>
      </w:r>
      <w:bookmarkEnd w:id="71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期转现申请可以由响应方客户确认，也可以由响应方会员代客户确认。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期转现确认】菜单，对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发起方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的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申请进行确认。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若由客户确认，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则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完成期转现确认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后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需对应会员审批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</w:p>
    <w:p w:rsidR="008A68E5" w:rsidRDefault="00DD7A47">
      <w:pPr>
        <w:autoSpaceDN w:val="0"/>
        <w:rPr>
          <w:rFonts w:ascii="宋体" w:hAnsi="宋体"/>
          <w:b/>
          <w:bCs/>
          <w:color w:val="C0504D" w:themeColor="accent2"/>
          <w:szCs w:val="24"/>
        </w:rPr>
      </w:pPr>
      <w:r>
        <w:rPr>
          <w:noProof/>
        </w:rPr>
        <w:drawing>
          <wp:inline distT="0" distB="0" distL="114300" distR="114300">
            <wp:extent cx="5296535" cy="2671445"/>
            <wp:effectExtent l="0" t="0" r="18415" b="1460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8E5" w:rsidRDefault="00DD7A47">
      <w:pPr>
        <w:pStyle w:val="2"/>
        <w:numPr>
          <w:ilvl w:val="0"/>
          <w:numId w:val="1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72" w:name="_Toc12064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发布及查询</w:t>
      </w:r>
      <w:bookmarkEnd w:id="72"/>
    </w:p>
    <w:p w:rsidR="008A68E5" w:rsidRDefault="00DD7A4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期转现意向发布及查询】菜单，可录入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，并可查询市场已发布的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</w:p>
    <w:p w:rsidR="008A68E5" w:rsidRDefault="00DD7A47">
      <w:r>
        <w:rPr>
          <w:noProof/>
        </w:rPr>
        <w:drawing>
          <wp:inline distT="0" distB="0" distL="114300" distR="114300">
            <wp:extent cx="5263515" cy="2644140"/>
            <wp:effectExtent l="0" t="0" r="13335" b="381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8A68E5" w:rsidRDefault="00DD7A47">
      <w:r>
        <w:rPr>
          <w:noProof/>
        </w:rPr>
        <w:drawing>
          <wp:inline distT="0" distB="0" distL="114300" distR="114300">
            <wp:extent cx="5263515" cy="2638425"/>
            <wp:effectExtent l="0" t="0" r="13335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8A68E5" w:rsidRDefault="008A68E5">
      <w:pPr>
        <w:autoSpaceDN w:val="0"/>
        <w:spacing w:line="400" w:lineRule="exact"/>
        <w:rPr>
          <w:rFonts w:ascii="宋体" w:hAnsi="宋体"/>
          <w:b/>
          <w:bCs/>
          <w:color w:val="C0504D" w:themeColor="accent2"/>
          <w:szCs w:val="24"/>
        </w:rPr>
      </w:pPr>
    </w:p>
    <w:sectPr w:rsidR="008A68E5">
      <w:headerReference w:type="default" r:id="rId70"/>
      <w:pgSz w:w="11906" w:h="16838"/>
      <w:pgMar w:top="1474" w:right="1800" w:bottom="1474" w:left="1800" w:header="851" w:footer="992" w:gutter="0"/>
      <w:pgNumType w:fmt="numberInDash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DD7A47">
      <w:r>
        <w:separator/>
      </w:r>
    </w:p>
  </w:endnote>
  <w:endnote w:type="continuationSeparator" w:id="0">
    <w:p w:rsidR="00000000" w:rsidRDefault="00DD7A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方正黑体简体">
    <w:altName w:val="微软雅黑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7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A68E5" w:rsidRDefault="00DD7A4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left:0;text-align:left;margin-left:0;margin-top:0;width:2in;height:2in;z-index:25166336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" filled="f" fillcolor="white [3201]" stroked="f" strokeweight=".5pt">
              <v:textbox style="mso-fit-shape-to-text:t" inset="0,0,0,0">
                <w:txbxContent>
                  <w:p w:rsidR="008A68E5" w:rsidRDefault="00DD7A4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8A68E5" w:rsidRDefault="008A68E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7"/>
      <w:tabs>
        <w:tab w:val="right" w:pos="8426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A68E5" w:rsidRDefault="00DD7A4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7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" filled="f" fillcolor="white [3201]" stroked="f" strokeweight=".5pt">
              <v:textbox style="mso-fit-shape-to-text:t" inset="0,0,0,0">
                <w:txbxContent>
                  <w:p w:rsidR="008A68E5" w:rsidRDefault="00DD7A4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ab/>
    </w:r>
    <w:r>
      <w:tab/>
    </w:r>
    <w:r>
      <w:tab/>
    </w:r>
    <w:r>
      <w:tab/>
    </w:r>
  </w:p>
  <w:p w:rsidR="008A68E5" w:rsidRDefault="008A68E5">
    <w:pPr>
      <w:pStyle w:val="a7"/>
      <w:tabs>
        <w:tab w:val="clear" w:pos="4153"/>
      </w:tabs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A68E5" w:rsidRDefault="00DD7A4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9" o:spid="_x0000_s1028" type="#_x0000_t202" style="position:absolute;margin-left:0;margin-top:0;width:2in;height:2in;z-index:25166540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" filled="f" fillcolor="white [3201]" stroked="f" strokeweight=".5pt">
              <v:textbox style="mso-fit-shape-to-text:t" inset="0,0,0,0">
                <w:txbxContent>
                  <w:p w:rsidR="008A68E5" w:rsidRDefault="00DD7A4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7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A68E5" w:rsidRDefault="00DD7A4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- 3 -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9" type="#_x0000_t202" style="position:absolute;left:0;text-align:left;margin-left:0;margin-top:0;width:2in;height:2in;z-index:25166643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" filled="f" fillcolor="white [3201]" stroked="f" strokeweight=".5pt">
              <v:textbox style="mso-fit-shape-to-text:t" inset="0,0,0,0">
                <w:txbxContent>
                  <w:p w:rsidR="008A68E5" w:rsidRDefault="00DD7A4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- 3 -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8A68E5" w:rsidRDefault="008A68E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DD7A47">
      <w:r>
        <w:separator/>
      </w:r>
    </w:p>
  </w:footnote>
  <w:footnote w:type="continuationSeparator" w:id="0">
    <w:p w:rsidR="00000000" w:rsidRDefault="00DD7A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8A68E5">
    <w:pPr>
      <w:pStyle w:val="a9"/>
      <w:pBdr>
        <w:bottom w:val="none" w:sz="0" w:space="1" w:color="auto"/>
      </w:pBdr>
      <w:tabs>
        <w:tab w:val="left" w:pos="2141"/>
        <w:tab w:val="center" w:pos="4213"/>
      </w:tabs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8A68E5">
    <w:pPr>
      <w:pStyle w:val="a9"/>
      <w:pBdr>
        <w:bottom w:val="none" w:sz="0" w:space="1" w:color="auto"/>
      </w:pBdr>
      <w:tabs>
        <w:tab w:val="left" w:pos="2141"/>
        <w:tab w:val="center" w:pos="4213"/>
      </w:tabs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21590" b="23495"/>
          <wp:wrapSquare wrapText="bothSides"/>
          <wp:docPr id="21" name="图片 21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图片 21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第一章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r>
      <w:rPr>
        <w:rFonts w:ascii="微软雅黑" w:eastAsia="微软雅黑" w:hAnsi="微软雅黑" w:cs="微软雅黑" w:hint="eastAsia"/>
        <w:color w:val="808080" w:themeColor="background1" w:themeShade="80"/>
      </w:rPr>
      <w:t>业务</w:t>
    </w:r>
    <w:r>
      <w:rPr>
        <w:rFonts w:ascii="微软雅黑" w:eastAsia="微软雅黑" w:hAnsi="微软雅黑" w:cs="微软雅黑"/>
        <w:color w:val="808080" w:themeColor="background1" w:themeShade="80"/>
      </w:rPr>
      <w:t>操作指引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15240" b="4445"/>
          <wp:wrapSquare wrapText="bothSides"/>
          <wp:docPr id="166" name="图片 166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图片 166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</w:t>
    </w:r>
    <w:r>
      <w:rPr>
        <w:rFonts w:hint="eastAsia"/>
      </w:rPr>
      <w:t xml:space="preserve">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第二章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r>
      <w:rPr>
        <w:rFonts w:ascii="微软雅黑" w:eastAsia="微软雅黑" w:hAnsi="微软雅黑" w:cs="微软雅黑" w:hint="eastAsia"/>
        <w:color w:val="808080" w:themeColor="background1" w:themeShade="80"/>
      </w:rPr>
      <w:t>特定业务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68E5" w:rsidRDefault="00DD7A4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15240" b="4445"/>
          <wp:wrapSquare wrapText="bothSides"/>
          <wp:docPr id="99" name="图片 99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图片 99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</w:t>
    </w:r>
    <w:r>
      <w:rPr>
        <w:rFonts w:hint="eastAsia"/>
      </w:rPr>
      <w:t xml:space="preserve">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第三章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proofErr w:type="gramStart"/>
    <w:r>
      <w:rPr>
        <w:rFonts w:ascii="微软雅黑" w:eastAsia="微软雅黑" w:hAnsi="微软雅黑" w:cs="微软雅黑" w:hint="eastAsia"/>
        <w:color w:val="808080" w:themeColor="background1" w:themeShade="80"/>
      </w:rPr>
      <w:t>期转现业务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04A3466"/>
    <w:multiLevelType w:val="multilevel"/>
    <w:tmpl w:val="A04A3466"/>
    <w:lvl w:ilvl="0">
      <w:start w:val="2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isLgl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 w15:restartNumberingAfterBreak="0">
    <w:nsid w:val="DDB17605"/>
    <w:multiLevelType w:val="multilevel"/>
    <w:tmpl w:val="DDB17605"/>
    <w:lvl w:ilvl="0">
      <w:start w:val="1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2"/>
      <w:numFmt w:val="decimal"/>
      <w:isLgl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2" w15:restartNumberingAfterBreak="0">
    <w:nsid w:val="FD3B5B22"/>
    <w:multiLevelType w:val="singleLevel"/>
    <w:tmpl w:val="FD3B5B22"/>
    <w:lvl w:ilvl="0">
      <w:start w:val="2"/>
      <w:numFmt w:val="decimal"/>
      <w:suff w:val="nothing"/>
      <w:lvlText w:val="%1、"/>
      <w:lvlJc w:val="left"/>
    </w:lvl>
  </w:abstractNum>
  <w:abstractNum w:abstractNumId="3" w15:restartNumberingAfterBreak="0">
    <w:nsid w:val="54ED9C86"/>
    <w:multiLevelType w:val="multilevel"/>
    <w:tmpl w:val="54ED9C86"/>
    <w:lvl w:ilvl="0">
      <w:start w:val="1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isLgl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4" w15:restartNumberingAfterBreak="0">
    <w:nsid w:val="622EB22F"/>
    <w:multiLevelType w:val="singleLevel"/>
    <w:tmpl w:val="622EB22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622EEA15"/>
    <w:multiLevelType w:val="multilevel"/>
    <w:tmpl w:val="622EEA15"/>
    <w:lvl w:ilvl="0">
      <w:start w:val="4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2"/>
      <w:numFmt w:val="decimal"/>
      <w:lvlText w:val="%1.%2.%3."/>
      <w:lvlJc w:val="left"/>
      <w:pPr>
        <w:ind w:left="709" w:hanging="709"/>
      </w:pPr>
      <w:rPr>
        <w:rFonts w:ascii="宋体" w:eastAsia="宋体" w:hAnsi="宋体" w:cs="宋体" w:hint="default"/>
      </w:rPr>
    </w:lvl>
    <w:lvl w:ilvl="3">
      <w:start w:val="1"/>
      <w:numFmt w:val="decimal"/>
      <w:pStyle w:val="4"/>
      <w:isLgl/>
      <w:lvlText w:val="%1.%2.%3.%4."/>
      <w:lvlJc w:val="left"/>
      <w:pPr>
        <w:ind w:left="850" w:hanging="850"/>
      </w:pPr>
      <w:rPr>
        <w:rFonts w:ascii="微软雅黑" w:eastAsia="微软雅黑" w:hAnsi="微软雅黑" w:cs="宋体"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6" w15:restartNumberingAfterBreak="0">
    <w:nsid w:val="622EECE2"/>
    <w:multiLevelType w:val="multilevel"/>
    <w:tmpl w:val="622EECE2"/>
    <w:lvl w:ilvl="0">
      <w:start w:val="2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4"/>
      <w:numFmt w:val="decimal"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pStyle w:val="3"/>
      <w:isLgl/>
      <w:lvlText w:val="%1.%2.%3."/>
      <w:lvlJc w:val="left"/>
      <w:pPr>
        <w:ind w:left="709" w:hanging="709"/>
      </w:pPr>
      <w:rPr>
        <w:rFonts w:ascii="微软雅黑" w:eastAsia="微软雅黑" w:hAnsi="微软雅黑" w:cs="宋体"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7" w15:restartNumberingAfterBreak="0">
    <w:nsid w:val="622EFF0F"/>
    <w:multiLevelType w:val="multilevel"/>
    <w:tmpl w:val="622EFF0F"/>
    <w:lvl w:ilvl="0">
      <w:start w:val="1"/>
      <w:numFmt w:val="chineseCounting"/>
      <w:suff w:val="nothing"/>
      <w:lvlText w:val="第%1章　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1">
      <w:start w:val="1"/>
      <w:numFmt w:val="chineseCounting"/>
      <w:suff w:val="nothing"/>
      <w:lvlText w:val="第%2节　"/>
      <w:lvlJc w:val="left"/>
      <w:pPr>
        <w:ind w:left="0" w:firstLine="402"/>
      </w:pPr>
      <w:rPr>
        <w:rFonts w:hint="eastAsia"/>
      </w:rPr>
    </w:lvl>
    <w:lvl w:ilvl="2">
      <w:start w:val="1"/>
      <w:numFmt w:val="chineseCounting"/>
      <w:suff w:val="nothing"/>
      <w:lvlText w:val="第%3条　"/>
      <w:lvlJc w:val="left"/>
      <w:pPr>
        <w:ind w:left="0" w:firstLine="402"/>
      </w:pPr>
      <w:rPr>
        <w:rFonts w:hint="eastAsia"/>
      </w:rPr>
    </w:lvl>
    <w:lvl w:ilvl="3">
      <w:start w:val="1"/>
      <w:numFmt w:val="chineseCounting"/>
      <w:suff w:val="nothing"/>
      <w:lvlText w:val="（%4）"/>
      <w:lvlJc w:val="left"/>
      <w:pPr>
        <w:ind w:left="0" w:firstLine="402"/>
      </w:pPr>
      <w:rPr>
        <w:rFonts w:hint="eastAsia"/>
      </w:rPr>
    </w:lvl>
    <w:lvl w:ilvl="4">
      <w:start w:val="1"/>
      <w:numFmt w:val="decimal"/>
      <w:suff w:val="nothing"/>
      <w:lvlText w:val="%5．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suff w:val="nothing"/>
      <w:lvlText w:val="（%6）"/>
      <w:lvlJc w:val="left"/>
      <w:pPr>
        <w:ind w:left="0" w:firstLine="402"/>
      </w:pPr>
      <w:rPr>
        <w:rFonts w:hint="eastAsia"/>
      </w:rPr>
    </w:lvl>
    <w:lvl w:ilvl="6">
      <w:start w:val="1"/>
      <w:numFmt w:val="decimalEnclosedCircleChinese"/>
      <w:suff w:val="nothing"/>
      <w:lvlText w:val="%7 "/>
      <w:lvlJc w:val="left"/>
      <w:pPr>
        <w:ind w:left="0" w:firstLine="402"/>
      </w:pPr>
      <w:rPr>
        <w:rFonts w:hint="eastAsia"/>
      </w:rPr>
    </w:lvl>
    <w:lvl w:ilvl="7">
      <w:start w:val="1"/>
      <w:numFmt w:val="decimal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Letter"/>
      <w:suff w:val="nothing"/>
      <w:lvlText w:val="%9．"/>
      <w:lvlJc w:val="left"/>
      <w:pPr>
        <w:ind w:left="0" w:firstLine="402"/>
      </w:pPr>
      <w:rPr>
        <w:rFonts w:hint="eastAsia"/>
      </w:rPr>
    </w:lvl>
  </w:abstractNum>
  <w:abstractNum w:abstractNumId="8" w15:restartNumberingAfterBreak="0">
    <w:nsid w:val="63B7981A"/>
    <w:multiLevelType w:val="multilevel"/>
    <w:tmpl w:val="63B7981A"/>
    <w:lvl w:ilvl="0">
      <w:start w:val="5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pStyle w:val="2"/>
      <w:isLgl/>
      <w:lvlText w:val="%1.%2."/>
      <w:lvlJc w:val="left"/>
      <w:pPr>
        <w:ind w:left="567" w:hanging="567"/>
      </w:pPr>
      <w:rPr>
        <w:rFonts w:ascii="微软雅黑" w:eastAsia="微软雅黑" w:hAnsi="微软雅黑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9" w15:restartNumberingAfterBreak="0">
    <w:nsid w:val="63B79C0B"/>
    <w:multiLevelType w:val="singleLevel"/>
    <w:tmpl w:val="63B79C0B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63B79CB3"/>
    <w:multiLevelType w:val="multilevel"/>
    <w:tmpl w:val="63B79CB3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63B79CCD"/>
    <w:multiLevelType w:val="singleLevel"/>
    <w:tmpl w:val="63B79CCD"/>
    <w:lvl w:ilvl="0">
      <w:start w:val="2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2" w15:restartNumberingAfterBreak="0">
    <w:nsid w:val="63B79D55"/>
    <w:multiLevelType w:val="multilevel"/>
    <w:tmpl w:val="63B79D55"/>
    <w:lvl w:ilvl="0">
      <w:start w:val="1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3" w15:restartNumberingAfterBreak="0">
    <w:nsid w:val="63BBDEA7"/>
    <w:multiLevelType w:val="multilevel"/>
    <w:tmpl w:val="63BBDEA7"/>
    <w:lvl w:ilvl="0">
      <w:start w:val="2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2"/>
      <w:numFmt w:val="decimal"/>
      <w:isLgl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4" w15:restartNumberingAfterBreak="0">
    <w:nsid w:val="6459AE31"/>
    <w:multiLevelType w:val="singleLevel"/>
    <w:tmpl w:val="6459AE31"/>
    <w:lvl w:ilvl="0">
      <w:start w:val="2"/>
      <w:numFmt w:val="decimal"/>
      <w:suff w:val="nothing"/>
      <w:lvlText w:val="%1、"/>
      <w:lvlJc w:val="left"/>
      <w:pPr>
        <w:ind w:left="4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7"/>
  </w:num>
  <w:num w:numId="5">
    <w:abstractNumId w:val="4"/>
  </w:num>
  <w:num w:numId="6">
    <w:abstractNumId w:val="9"/>
  </w:num>
  <w:num w:numId="7">
    <w:abstractNumId w:val="12"/>
  </w:num>
  <w:num w:numId="8">
    <w:abstractNumId w:val="3"/>
  </w:num>
  <w:num w:numId="9">
    <w:abstractNumId w:val="1"/>
  </w:num>
  <w:num w:numId="10">
    <w:abstractNumId w:val="0"/>
  </w:num>
  <w:num w:numId="11">
    <w:abstractNumId w:val="2"/>
  </w:num>
  <w:num w:numId="12">
    <w:abstractNumId w:val="13"/>
  </w:num>
  <w:num w:numId="13">
    <w:abstractNumId w:val="14"/>
  </w:num>
  <w:num w:numId="14">
    <w:abstractNumId w:val="10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66"/>
  <w:noPunctuationKerning/>
  <w:characterSpacingControl w:val="compressPunctuation"/>
  <w:hdrShapeDefaults>
    <o:shapedefaults v:ext="edit" spidmax="3073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B2F20AAC"/>
    <w:rsid w:val="B6FD5F58"/>
    <w:rsid w:val="B7D3D799"/>
    <w:rsid w:val="BBEDDE3A"/>
    <w:rsid w:val="BBFF646F"/>
    <w:rsid w:val="BBFF7B91"/>
    <w:rsid w:val="BDFF10CF"/>
    <w:rsid w:val="BE5FB29A"/>
    <w:rsid w:val="BEBD2D7A"/>
    <w:rsid w:val="BFE9B070"/>
    <w:rsid w:val="BFFF2538"/>
    <w:rsid w:val="CE5D7267"/>
    <w:rsid w:val="CF663591"/>
    <w:rsid w:val="DBF804CA"/>
    <w:rsid w:val="DCF7511B"/>
    <w:rsid w:val="DCFFBF47"/>
    <w:rsid w:val="DDFBAD1B"/>
    <w:rsid w:val="DEDF20DA"/>
    <w:rsid w:val="DF37D6F9"/>
    <w:rsid w:val="DF9FE215"/>
    <w:rsid w:val="DFBD4D72"/>
    <w:rsid w:val="E3FF4C36"/>
    <w:rsid w:val="E5EFA28B"/>
    <w:rsid w:val="E5F777F4"/>
    <w:rsid w:val="E6F862FD"/>
    <w:rsid w:val="E79D96F5"/>
    <w:rsid w:val="ECFFD064"/>
    <w:rsid w:val="EDEF9017"/>
    <w:rsid w:val="EDFF7FC3"/>
    <w:rsid w:val="EECD0307"/>
    <w:rsid w:val="EEDE909B"/>
    <w:rsid w:val="EEDF331D"/>
    <w:rsid w:val="EFDBEF59"/>
    <w:rsid w:val="EFF78361"/>
    <w:rsid w:val="EFFF091A"/>
    <w:rsid w:val="EFFFB927"/>
    <w:rsid w:val="EFFFF5AA"/>
    <w:rsid w:val="F3CE6A63"/>
    <w:rsid w:val="F3ED62A7"/>
    <w:rsid w:val="F4DEBDB8"/>
    <w:rsid w:val="F6DD9F9B"/>
    <w:rsid w:val="F72F5121"/>
    <w:rsid w:val="F7B3B614"/>
    <w:rsid w:val="F7D80F66"/>
    <w:rsid w:val="F7F798E3"/>
    <w:rsid w:val="FB99AE08"/>
    <w:rsid w:val="FBAFDB17"/>
    <w:rsid w:val="FBDEB409"/>
    <w:rsid w:val="FBF31F24"/>
    <w:rsid w:val="FCFF8CFE"/>
    <w:rsid w:val="FD7EE79D"/>
    <w:rsid w:val="FDAFE087"/>
    <w:rsid w:val="FDDDE4BB"/>
    <w:rsid w:val="FDF3F043"/>
    <w:rsid w:val="FDFB5FBF"/>
    <w:rsid w:val="FDFD6F96"/>
    <w:rsid w:val="FDFFD7A9"/>
    <w:rsid w:val="FE7DA89D"/>
    <w:rsid w:val="FEBFEA10"/>
    <w:rsid w:val="FED693C6"/>
    <w:rsid w:val="FF6BB410"/>
    <w:rsid w:val="FF7A10D7"/>
    <w:rsid w:val="FF7DB473"/>
    <w:rsid w:val="FFD78FA2"/>
    <w:rsid w:val="FFE66EE2"/>
    <w:rsid w:val="FFEF0231"/>
    <w:rsid w:val="FFF44F3B"/>
    <w:rsid w:val="FFF703BA"/>
    <w:rsid w:val="FFF7C6A2"/>
    <w:rsid w:val="FFFA1E8D"/>
    <w:rsid w:val="FFFE806A"/>
    <w:rsid w:val="FFFFB425"/>
    <w:rsid w:val="000004B6"/>
    <w:rsid w:val="000246E0"/>
    <w:rsid w:val="00035D19"/>
    <w:rsid w:val="00041160"/>
    <w:rsid w:val="00046648"/>
    <w:rsid w:val="00047CE0"/>
    <w:rsid w:val="000504FF"/>
    <w:rsid w:val="000548A5"/>
    <w:rsid w:val="00060118"/>
    <w:rsid w:val="000634AE"/>
    <w:rsid w:val="00064DC2"/>
    <w:rsid w:val="00083002"/>
    <w:rsid w:val="00095C99"/>
    <w:rsid w:val="0009710A"/>
    <w:rsid w:val="000A2BD8"/>
    <w:rsid w:val="000B703F"/>
    <w:rsid w:val="000D1762"/>
    <w:rsid w:val="000D4D67"/>
    <w:rsid w:val="000E0476"/>
    <w:rsid w:val="000F57FF"/>
    <w:rsid w:val="000F5F6C"/>
    <w:rsid w:val="000F6033"/>
    <w:rsid w:val="0010242B"/>
    <w:rsid w:val="001067AA"/>
    <w:rsid w:val="0011211E"/>
    <w:rsid w:val="0012008F"/>
    <w:rsid w:val="00140CC4"/>
    <w:rsid w:val="0015210F"/>
    <w:rsid w:val="00156501"/>
    <w:rsid w:val="00156C79"/>
    <w:rsid w:val="00162FC1"/>
    <w:rsid w:val="00172A27"/>
    <w:rsid w:val="0017783A"/>
    <w:rsid w:val="001849F2"/>
    <w:rsid w:val="00186D1D"/>
    <w:rsid w:val="001916C2"/>
    <w:rsid w:val="00193485"/>
    <w:rsid w:val="00194924"/>
    <w:rsid w:val="001A14D9"/>
    <w:rsid w:val="001B46E0"/>
    <w:rsid w:val="001F55BA"/>
    <w:rsid w:val="0020195F"/>
    <w:rsid w:val="002023F2"/>
    <w:rsid w:val="002042F4"/>
    <w:rsid w:val="00213B50"/>
    <w:rsid w:val="0021450D"/>
    <w:rsid w:val="00220469"/>
    <w:rsid w:val="00242A22"/>
    <w:rsid w:val="002459B8"/>
    <w:rsid w:val="0024685E"/>
    <w:rsid w:val="0025430D"/>
    <w:rsid w:val="002625E4"/>
    <w:rsid w:val="002630C9"/>
    <w:rsid w:val="002668F0"/>
    <w:rsid w:val="00294E51"/>
    <w:rsid w:val="002A25D7"/>
    <w:rsid w:val="002A2B20"/>
    <w:rsid w:val="002C0B62"/>
    <w:rsid w:val="002D74C7"/>
    <w:rsid w:val="002F39E8"/>
    <w:rsid w:val="003057EA"/>
    <w:rsid w:val="00306ACB"/>
    <w:rsid w:val="00311E24"/>
    <w:rsid w:val="00317592"/>
    <w:rsid w:val="00323570"/>
    <w:rsid w:val="0032379D"/>
    <w:rsid w:val="00327E55"/>
    <w:rsid w:val="003450DB"/>
    <w:rsid w:val="0035305A"/>
    <w:rsid w:val="0036557C"/>
    <w:rsid w:val="00366445"/>
    <w:rsid w:val="00375B4F"/>
    <w:rsid w:val="00376015"/>
    <w:rsid w:val="00376EFF"/>
    <w:rsid w:val="00386F40"/>
    <w:rsid w:val="00390579"/>
    <w:rsid w:val="00393076"/>
    <w:rsid w:val="00394F32"/>
    <w:rsid w:val="0039607E"/>
    <w:rsid w:val="003B3983"/>
    <w:rsid w:val="003C106C"/>
    <w:rsid w:val="003D139E"/>
    <w:rsid w:val="003D3775"/>
    <w:rsid w:val="003E6BF2"/>
    <w:rsid w:val="003E7E13"/>
    <w:rsid w:val="003F6DEC"/>
    <w:rsid w:val="00404C49"/>
    <w:rsid w:val="0041526A"/>
    <w:rsid w:val="00446A15"/>
    <w:rsid w:val="00453AB1"/>
    <w:rsid w:val="00475590"/>
    <w:rsid w:val="00484CA4"/>
    <w:rsid w:val="00485478"/>
    <w:rsid w:val="00485E3C"/>
    <w:rsid w:val="004911BB"/>
    <w:rsid w:val="004955A2"/>
    <w:rsid w:val="004B5209"/>
    <w:rsid w:val="004B7111"/>
    <w:rsid w:val="004E4BAE"/>
    <w:rsid w:val="00501DEC"/>
    <w:rsid w:val="00514E03"/>
    <w:rsid w:val="00542C6E"/>
    <w:rsid w:val="00546C72"/>
    <w:rsid w:val="005547FB"/>
    <w:rsid w:val="00576D46"/>
    <w:rsid w:val="0058001A"/>
    <w:rsid w:val="00581E67"/>
    <w:rsid w:val="00584843"/>
    <w:rsid w:val="005911D0"/>
    <w:rsid w:val="00592BE4"/>
    <w:rsid w:val="005A0E64"/>
    <w:rsid w:val="005A4ACF"/>
    <w:rsid w:val="005A5329"/>
    <w:rsid w:val="005B453B"/>
    <w:rsid w:val="005C18D6"/>
    <w:rsid w:val="005D270E"/>
    <w:rsid w:val="005D2F4D"/>
    <w:rsid w:val="005D761E"/>
    <w:rsid w:val="005E3C9C"/>
    <w:rsid w:val="005F0815"/>
    <w:rsid w:val="005F47AF"/>
    <w:rsid w:val="00616BAD"/>
    <w:rsid w:val="00633312"/>
    <w:rsid w:val="00651AE4"/>
    <w:rsid w:val="00681329"/>
    <w:rsid w:val="00686D70"/>
    <w:rsid w:val="00696420"/>
    <w:rsid w:val="00696765"/>
    <w:rsid w:val="006B06C4"/>
    <w:rsid w:val="006B4D46"/>
    <w:rsid w:val="006C4F42"/>
    <w:rsid w:val="006D1F0E"/>
    <w:rsid w:val="00705AE3"/>
    <w:rsid w:val="00711739"/>
    <w:rsid w:val="00713136"/>
    <w:rsid w:val="007276F7"/>
    <w:rsid w:val="0073369D"/>
    <w:rsid w:val="00736B4C"/>
    <w:rsid w:val="007442EB"/>
    <w:rsid w:val="00745953"/>
    <w:rsid w:val="00756412"/>
    <w:rsid w:val="00762BBA"/>
    <w:rsid w:val="00777643"/>
    <w:rsid w:val="007800DB"/>
    <w:rsid w:val="00787882"/>
    <w:rsid w:val="00787F6D"/>
    <w:rsid w:val="00791D08"/>
    <w:rsid w:val="007934F1"/>
    <w:rsid w:val="00795BE4"/>
    <w:rsid w:val="007A7748"/>
    <w:rsid w:val="007C154E"/>
    <w:rsid w:val="007C17D5"/>
    <w:rsid w:val="007D5CCA"/>
    <w:rsid w:val="007F1871"/>
    <w:rsid w:val="00831097"/>
    <w:rsid w:val="00873A60"/>
    <w:rsid w:val="008756B4"/>
    <w:rsid w:val="008764FE"/>
    <w:rsid w:val="008849B5"/>
    <w:rsid w:val="008851FD"/>
    <w:rsid w:val="00886072"/>
    <w:rsid w:val="008A68E5"/>
    <w:rsid w:val="008B1D21"/>
    <w:rsid w:val="008B5CF7"/>
    <w:rsid w:val="008B697A"/>
    <w:rsid w:val="008C1275"/>
    <w:rsid w:val="008C40C7"/>
    <w:rsid w:val="008D603F"/>
    <w:rsid w:val="008D6254"/>
    <w:rsid w:val="008E0BD2"/>
    <w:rsid w:val="009130FF"/>
    <w:rsid w:val="009136E4"/>
    <w:rsid w:val="00913C8D"/>
    <w:rsid w:val="009266B1"/>
    <w:rsid w:val="0093130C"/>
    <w:rsid w:val="00931B1E"/>
    <w:rsid w:val="00935185"/>
    <w:rsid w:val="0093776F"/>
    <w:rsid w:val="009615BE"/>
    <w:rsid w:val="00961CAC"/>
    <w:rsid w:val="00965799"/>
    <w:rsid w:val="00965BF1"/>
    <w:rsid w:val="00971A54"/>
    <w:rsid w:val="00972276"/>
    <w:rsid w:val="00986A5A"/>
    <w:rsid w:val="009A3E52"/>
    <w:rsid w:val="009C4CA5"/>
    <w:rsid w:val="009E1283"/>
    <w:rsid w:val="009E65D2"/>
    <w:rsid w:val="009F0CC8"/>
    <w:rsid w:val="00A00B1A"/>
    <w:rsid w:val="00A03397"/>
    <w:rsid w:val="00A04E95"/>
    <w:rsid w:val="00A22CC3"/>
    <w:rsid w:val="00A23536"/>
    <w:rsid w:val="00A250B9"/>
    <w:rsid w:val="00A43DAD"/>
    <w:rsid w:val="00A5039A"/>
    <w:rsid w:val="00A60D19"/>
    <w:rsid w:val="00A6222F"/>
    <w:rsid w:val="00A8105E"/>
    <w:rsid w:val="00A873B6"/>
    <w:rsid w:val="00A908D9"/>
    <w:rsid w:val="00A9187B"/>
    <w:rsid w:val="00A93E97"/>
    <w:rsid w:val="00AA0F81"/>
    <w:rsid w:val="00AA659C"/>
    <w:rsid w:val="00AB5B0D"/>
    <w:rsid w:val="00AB7BA7"/>
    <w:rsid w:val="00AC591E"/>
    <w:rsid w:val="00AD445D"/>
    <w:rsid w:val="00AD560E"/>
    <w:rsid w:val="00AE1998"/>
    <w:rsid w:val="00AE76E4"/>
    <w:rsid w:val="00AF4248"/>
    <w:rsid w:val="00B07C8B"/>
    <w:rsid w:val="00B24D84"/>
    <w:rsid w:val="00B323E4"/>
    <w:rsid w:val="00B37CAA"/>
    <w:rsid w:val="00B41596"/>
    <w:rsid w:val="00B42AE5"/>
    <w:rsid w:val="00B53DB2"/>
    <w:rsid w:val="00B557AB"/>
    <w:rsid w:val="00B7473F"/>
    <w:rsid w:val="00B765B4"/>
    <w:rsid w:val="00B83E81"/>
    <w:rsid w:val="00B90752"/>
    <w:rsid w:val="00B92416"/>
    <w:rsid w:val="00B92D82"/>
    <w:rsid w:val="00B97FD7"/>
    <w:rsid w:val="00BA1F42"/>
    <w:rsid w:val="00BB5E24"/>
    <w:rsid w:val="00BD108B"/>
    <w:rsid w:val="00BF3367"/>
    <w:rsid w:val="00C06BF6"/>
    <w:rsid w:val="00C44DE7"/>
    <w:rsid w:val="00C57ABF"/>
    <w:rsid w:val="00C656B9"/>
    <w:rsid w:val="00C80592"/>
    <w:rsid w:val="00C903B8"/>
    <w:rsid w:val="00C913BC"/>
    <w:rsid w:val="00C959DA"/>
    <w:rsid w:val="00CC0225"/>
    <w:rsid w:val="00CC52D4"/>
    <w:rsid w:val="00CC60B5"/>
    <w:rsid w:val="00CD0EC4"/>
    <w:rsid w:val="00CD256D"/>
    <w:rsid w:val="00CD4AEC"/>
    <w:rsid w:val="00CD5C26"/>
    <w:rsid w:val="00CE1F63"/>
    <w:rsid w:val="00CE3B30"/>
    <w:rsid w:val="00CF3FE7"/>
    <w:rsid w:val="00D167FD"/>
    <w:rsid w:val="00D175FA"/>
    <w:rsid w:val="00D325E4"/>
    <w:rsid w:val="00D56121"/>
    <w:rsid w:val="00D9753E"/>
    <w:rsid w:val="00DA09BE"/>
    <w:rsid w:val="00DB07E7"/>
    <w:rsid w:val="00DC12A2"/>
    <w:rsid w:val="00DC59E1"/>
    <w:rsid w:val="00DD4073"/>
    <w:rsid w:val="00DD7A47"/>
    <w:rsid w:val="00DE6E1C"/>
    <w:rsid w:val="00E07320"/>
    <w:rsid w:val="00E13A93"/>
    <w:rsid w:val="00E322BE"/>
    <w:rsid w:val="00E364BD"/>
    <w:rsid w:val="00E46BDC"/>
    <w:rsid w:val="00E4761D"/>
    <w:rsid w:val="00E96A54"/>
    <w:rsid w:val="00EB0BE0"/>
    <w:rsid w:val="00EB363E"/>
    <w:rsid w:val="00EC0118"/>
    <w:rsid w:val="00EC1676"/>
    <w:rsid w:val="00EC2C23"/>
    <w:rsid w:val="00EE6D96"/>
    <w:rsid w:val="00F0667C"/>
    <w:rsid w:val="00F20BE6"/>
    <w:rsid w:val="00F25728"/>
    <w:rsid w:val="00F27226"/>
    <w:rsid w:val="00F33251"/>
    <w:rsid w:val="00F4009E"/>
    <w:rsid w:val="00F403C5"/>
    <w:rsid w:val="00F4162D"/>
    <w:rsid w:val="00F442C6"/>
    <w:rsid w:val="00FA003D"/>
    <w:rsid w:val="00FA1D9F"/>
    <w:rsid w:val="00FC5088"/>
    <w:rsid w:val="00FD1640"/>
    <w:rsid w:val="00FE09E5"/>
    <w:rsid w:val="00FF27BC"/>
    <w:rsid w:val="00FF35CE"/>
    <w:rsid w:val="00FF66E7"/>
    <w:rsid w:val="01137ECF"/>
    <w:rsid w:val="0147087B"/>
    <w:rsid w:val="014B291F"/>
    <w:rsid w:val="01762172"/>
    <w:rsid w:val="018C06D0"/>
    <w:rsid w:val="01CA1BFC"/>
    <w:rsid w:val="01D45D8F"/>
    <w:rsid w:val="01E653C2"/>
    <w:rsid w:val="021931E9"/>
    <w:rsid w:val="026C7207"/>
    <w:rsid w:val="02A24825"/>
    <w:rsid w:val="02C31E14"/>
    <w:rsid w:val="02C52312"/>
    <w:rsid w:val="03250BB4"/>
    <w:rsid w:val="032640B7"/>
    <w:rsid w:val="03882E57"/>
    <w:rsid w:val="0389513E"/>
    <w:rsid w:val="03990B73"/>
    <w:rsid w:val="03A42787"/>
    <w:rsid w:val="04257454"/>
    <w:rsid w:val="042A0462"/>
    <w:rsid w:val="042D11EF"/>
    <w:rsid w:val="043764A1"/>
    <w:rsid w:val="043A58E1"/>
    <w:rsid w:val="04771487"/>
    <w:rsid w:val="04845678"/>
    <w:rsid w:val="048D2705"/>
    <w:rsid w:val="04F75898"/>
    <w:rsid w:val="050B2FD3"/>
    <w:rsid w:val="050B6856"/>
    <w:rsid w:val="050C42D8"/>
    <w:rsid w:val="051C1393"/>
    <w:rsid w:val="052C4D59"/>
    <w:rsid w:val="054E05C4"/>
    <w:rsid w:val="05646EE5"/>
    <w:rsid w:val="058A7125"/>
    <w:rsid w:val="059D479C"/>
    <w:rsid w:val="05C66F89"/>
    <w:rsid w:val="05CB3411"/>
    <w:rsid w:val="05D617A2"/>
    <w:rsid w:val="062C2D60"/>
    <w:rsid w:val="063362B9"/>
    <w:rsid w:val="063748CB"/>
    <w:rsid w:val="063D03A9"/>
    <w:rsid w:val="067C79B2"/>
    <w:rsid w:val="06A168EC"/>
    <w:rsid w:val="0702568C"/>
    <w:rsid w:val="07075397"/>
    <w:rsid w:val="07102C23"/>
    <w:rsid w:val="07300B6D"/>
    <w:rsid w:val="0766310F"/>
    <w:rsid w:val="07BF4B46"/>
    <w:rsid w:val="07D102E3"/>
    <w:rsid w:val="07F6032B"/>
    <w:rsid w:val="081F1C47"/>
    <w:rsid w:val="08300EB3"/>
    <w:rsid w:val="08315718"/>
    <w:rsid w:val="08876706"/>
    <w:rsid w:val="089F41B4"/>
    <w:rsid w:val="08B50556"/>
    <w:rsid w:val="08B94BAA"/>
    <w:rsid w:val="08FF0FF7"/>
    <w:rsid w:val="09093863"/>
    <w:rsid w:val="092E279E"/>
    <w:rsid w:val="095A6AE5"/>
    <w:rsid w:val="09AB6AB1"/>
    <w:rsid w:val="09AE057E"/>
    <w:rsid w:val="09EC6C20"/>
    <w:rsid w:val="0A0D1161"/>
    <w:rsid w:val="0A1D767D"/>
    <w:rsid w:val="0A303BDB"/>
    <w:rsid w:val="0A305844"/>
    <w:rsid w:val="0A92255E"/>
    <w:rsid w:val="0AA07966"/>
    <w:rsid w:val="0AE15667"/>
    <w:rsid w:val="0AE80876"/>
    <w:rsid w:val="0B1A4E32"/>
    <w:rsid w:val="0B8528F2"/>
    <w:rsid w:val="0B9B5B7E"/>
    <w:rsid w:val="0BE1300C"/>
    <w:rsid w:val="0BE22C8C"/>
    <w:rsid w:val="0BF6631E"/>
    <w:rsid w:val="0C3A111C"/>
    <w:rsid w:val="0C691C6B"/>
    <w:rsid w:val="0C715938"/>
    <w:rsid w:val="0CD01B5B"/>
    <w:rsid w:val="0D0D17A0"/>
    <w:rsid w:val="0D4B0060"/>
    <w:rsid w:val="0D757C41"/>
    <w:rsid w:val="0D77028F"/>
    <w:rsid w:val="0D8920C3"/>
    <w:rsid w:val="0D904290"/>
    <w:rsid w:val="0DA32C6D"/>
    <w:rsid w:val="0DBB3B97"/>
    <w:rsid w:val="0DD3123D"/>
    <w:rsid w:val="0DFB6B7F"/>
    <w:rsid w:val="0DFFB347"/>
    <w:rsid w:val="0E0D1326"/>
    <w:rsid w:val="0E3756DF"/>
    <w:rsid w:val="0E72097B"/>
    <w:rsid w:val="0E7E07DA"/>
    <w:rsid w:val="0E983AB1"/>
    <w:rsid w:val="0F180250"/>
    <w:rsid w:val="0F6276D0"/>
    <w:rsid w:val="0F6F0C5E"/>
    <w:rsid w:val="0F8C6010"/>
    <w:rsid w:val="0FC64EF0"/>
    <w:rsid w:val="0FDB1B63"/>
    <w:rsid w:val="0FED66FA"/>
    <w:rsid w:val="10096293"/>
    <w:rsid w:val="1031679E"/>
    <w:rsid w:val="104A18C6"/>
    <w:rsid w:val="10674976"/>
    <w:rsid w:val="107C119C"/>
    <w:rsid w:val="107E38E7"/>
    <w:rsid w:val="10896574"/>
    <w:rsid w:val="10C64A93"/>
    <w:rsid w:val="10DE1211"/>
    <w:rsid w:val="10FD29EF"/>
    <w:rsid w:val="11352B49"/>
    <w:rsid w:val="11412196"/>
    <w:rsid w:val="11D23DD5"/>
    <w:rsid w:val="11F42741"/>
    <w:rsid w:val="127534D5"/>
    <w:rsid w:val="12A53DEB"/>
    <w:rsid w:val="12A8554B"/>
    <w:rsid w:val="12B63F3E"/>
    <w:rsid w:val="12FA0B8C"/>
    <w:rsid w:val="13045342"/>
    <w:rsid w:val="13124658"/>
    <w:rsid w:val="13281F5B"/>
    <w:rsid w:val="133C46AC"/>
    <w:rsid w:val="1381018F"/>
    <w:rsid w:val="13954E3E"/>
    <w:rsid w:val="13AC387C"/>
    <w:rsid w:val="148559D4"/>
    <w:rsid w:val="1488775D"/>
    <w:rsid w:val="149931DA"/>
    <w:rsid w:val="14A26068"/>
    <w:rsid w:val="14B66F07"/>
    <w:rsid w:val="14BC4694"/>
    <w:rsid w:val="14DA3C44"/>
    <w:rsid w:val="14E16E52"/>
    <w:rsid w:val="14E2604E"/>
    <w:rsid w:val="14FE0980"/>
    <w:rsid w:val="1555608A"/>
    <w:rsid w:val="159D4900"/>
    <w:rsid w:val="15C570C4"/>
    <w:rsid w:val="1604242C"/>
    <w:rsid w:val="161E3576"/>
    <w:rsid w:val="1651252C"/>
    <w:rsid w:val="16704872"/>
    <w:rsid w:val="168B5B89"/>
    <w:rsid w:val="169B64F5"/>
    <w:rsid w:val="16B36D4D"/>
    <w:rsid w:val="16E234ED"/>
    <w:rsid w:val="16F342B3"/>
    <w:rsid w:val="16FB7141"/>
    <w:rsid w:val="17061510"/>
    <w:rsid w:val="17484AFB"/>
    <w:rsid w:val="17543E96"/>
    <w:rsid w:val="176B42A2"/>
    <w:rsid w:val="1791186E"/>
    <w:rsid w:val="179363BB"/>
    <w:rsid w:val="17AB0504"/>
    <w:rsid w:val="17B0596B"/>
    <w:rsid w:val="17B8170D"/>
    <w:rsid w:val="17C5460C"/>
    <w:rsid w:val="17CB55E6"/>
    <w:rsid w:val="17F02ED1"/>
    <w:rsid w:val="18671C16"/>
    <w:rsid w:val="188A0ED1"/>
    <w:rsid w:val="18EF097E"/>
    <w:rsid w:val="1921194F"/>
    <w:rsid w:val="194F7996"/>
    <w:rsid w:val="196A273E"/>
    <w:rsid w:val="198630CB"/>
    <w:rsid w:val="198951F1"/>
    <w:rsid w:val="19B4513C"/>
    <w:rsid w:val="19D564E9"/>
    <w:rsid w:val="1A37500A"/>
    <w:rsid w:val="1A7C727B"/>
    <w:rsid w:val="1A841C4A"/>
    <w:rsid w:val="1A8E28A0"/>
    <w:rsid w:val="1AA85649"/>
    <w:rsid w:val="1AB57B44"/>
    <w:rsid w:val="1AD50A96"/>
    <w:rsid w:val="1AFB32F1"/>
    <w:rsid w:val="1B0B1E6A"/>
    <w:rsid w:val="1B8F1119"/>
    <w:rsid w:val="1BA05BE1"/>
    <w:rsid w:val="1BFA7574"/>
    <w:rsid w:val="1C3D1523"/>
    <w:rsid w:val="1C41576A"/>
    <w:rsid w:val="1C597FFE"/>
    <w:rsid w:val="1C6921FB"/>
    <w:rsid w:val="1C6A0081"/>
    <w:rsid w:val="1C6A3A15"/>
    <w:rsid w:val="1C776F7E"/>
    <w:rsid w:val="1C962C9B"/>
    <w:rsid w:val="1CDB20E5"/>
    <w:rsid w:val="1CE913FB"/>
    <w:rsid w:val="1CF1208B"/>
    <w:rsid w:val="1D116D3C"/>
    <w:rsid w:val="1D756A60"/>
    <w:rsid w:val="1DA03128"/>
    <w:rsid w:val="1DD154EB"/>
    <w:rsid w:val="1E105CE4"/>
    <w:rsid w:val="1E162137"/>
    <w:rsid w:val="1EFB7B61"/>
    <w:rsid w:val="1EFF1DDF"/>
    <w:rsid w:val="1F4505EA"/>
    <w:rsid w:val="1F47475D"/>
    <w:rsid w:val="1F57027B"/>
    <w:rsid w:val="1F5B6C81"/>
    <w:rsid w:val="1F695F97"/>
    <w:rsid w:val="1F772D2E"/>
    <w:rsid w:val="1F7F3B50"/>
    <w:rsid w:val="1FA834FD"/>
    <w:rsid w:val="1FAB7D05"/>
    <w:rsid w:val="1FBB1511"/>
    <w:rsid w:val="1FBC219E"/>
    <w:rsid w:val="1FD878B8"/>
    <w:rsid w:val="20014D72"/>
    <w:rsid w:val="201A109A"/>
    <w:rsid w:val="20664BB5"/>
    <w:rsid w:val="207109C7"/>
    <w:rsid w:val="20812875"/>
    <w:rsid w:val="208161E1"/>
    <w:rsid w:val="20B501B7"/>
    <w:rsid w:val="20B55BAA"/>
    <w:rsid w:val="210E092D"/>
    <w:rsid w:val="211C0E60"/>
    <w:rsid w:val="212671F1"/>
    <w:rsid w:val="2134250F"/>
    <w:rsid w:val="219F6978"/>
    <w:rsid w:val="21B535DD"/>
    <w:rsid w:val="21DB2198"/>
    <w:rsid w:val="21F430C2"/>
    <w:rsid w:val="220C10C7"/>
    <w:rsid w:val="22177DFE"/>
    <w:rsid w:val="22234BA6"/>
    <w:rsid w:val="22520EDD"/>
    <w:rsid w:val="22573F3A"/>
    <w:rsid w:val="22750198"/>
    <w:rsid w:val="231E3D81"/>
    <w:rsid w:val="23566CAB"/>
    <w:rsid w:val="236751A2"/>
    <w:rsid w:val="237C4C42"/>
    <w:rsid w:val="23B50B24"/>
    <w:rsid w:val="23DB75C4"/>
    <w:rsid w:val="24047568"/>
    <w:rsid w:val="241443C1"/>
    <w:rsid w:val="246E7F53"/>
    <w:rsid w:val="249726E6"/>
    <w:rsid w:val="24B42C46"/>
    <w:rsid w:val="24DC3B28"/>
    <w:rsid w:val="24F536AF"/>
    <w:rsid w:val="24F72435"/>
    <w:rsid w:val="2510555E"/>
    <w:rsid w:val="251C1370"/>
    <w:rsid w:val="25242DD9"/>
    <w:rsid w:val="253A3CF2"/>
    <w:rsid w:val="25E877BF"/>
    <w:rsid w:val="260B31F7"/>
    <w:rsid w:val="26127C23"/>
    <w:rsid w:val="263F494B"/>
    <w:rsid w:val="26446854"/>
    <w:rsid w:val="26AC2D80"/>
    <w:rsid w:val="26E179D7"/>
    <w:rsid w:val="27092B96"/>
    <w:rsid w:val="27123A8E"/>
    <w:rsid w:val="27D80894"/>
    <w:rsid w:val="28817483"/>
    <w:rsid w:val="28A718C1"/>
    <w:rsid w:val="28AF7301"/>
    <w:rsid w:val="28DF11E5"/>
    <w:rsid w:val="28E33CA5"/>
    <w:rsid w:val="28FC6DCD"/>
    <w:rsid w:val="29156672"/>
    <w:rsid w:val="29182E7A"/>
    <w:rsid w:val="291908FB"/>
    <w:rsid w:val="29435ED2"/>
    <w:rsid w:val="294C7E51"/>
    <w:rsid w:val="299E4777"/>
    <w:rsid w:val="29A22DDE"/>
    <w:rsid w:val="29AC1FEC"/>
    <w:rsid w:val="29B447E9"/>
    <w:rsid w:val="29C47E08"/>
    <w:rsid w:val="29C81999"/>
    <w:rsid w:val="29CA61AC"/>
    <w:rsid w:val="29D56AB0"/>
    <w:rsid w:val="29D954B6"/>
    <w:rsid w:val="29E26C43"/>
    <w:rsid w:val="2A00340E"/>
    <w:rsid w:val="2A2E29C2"/>
    <w:rsid w:val="2A364C33"/>
    <w:rsid w:val="2AAA4CED"/>
    <w:rsid w:val="2B0E6229"/>
    <w:rsid w:val="2B366922"/>
    <w:rsid w:val="2B797161"/>
    <w:rsid w:val="2B7B2664"/>
    <w:rsid w:val="2BDE4907"/>
    <w:rsid w:val="2BE1588C"/>
    <w:rsid w:val="2BE85216"/>
    <w:rsid w:val="2BF3CE7F"/>
    <w:rsid w:val="2BFB6435"/>
    <w:rsid w:val="2C3A6530"/>
    <w:rsid w:val="2C470AB3"/>
    <w:rsid w:val="2C4B74B9"/>
    <w:rsid w:val="2C5348C6"/>
    <w:rsid w:val="2C891868"/>
    <w:rsid w:val="2C9A2ABC"/>
    <w:rsid w:val="2C9D3A40"/>
    <w:rsid w:val="2CBF0F23"/>
    <w:rsid w:val="2CDD5544"/>
    <w:rsid w:val="2D703A18"/>
    <w:rsid w:val="2D961A5A"/>
    <w:rsid w:val="2D9C13E5"/>
    <w:rsid w:val="2DD82143"/>
    <w:rsid w:val="2DE103D8"/>
    <w:rsid w:val="2E064527"/>
    <w:rsid w:val="2E303E2B"/>
    <w:rsid w:val="2E3E5865"/>
    <w:rsid w:val="2E5E5C1F"/>
    <w:rsid w:val="2EFC6C5D"/>
    <w:rsid w:val="2FB653B3"/>
    <w:rsid w:val="2FBE55E8"/>
    <w:rsid w:val="2FFE4045"/>
    <w:rsid w:val="300C2463"/>
    <w:rsid w:val="30272C8D"/>
    <w:rsid w:val="3059159F"/>
    <w:rsid w:val="308443FD"/>
    <w:rsid w:val="308D3CB6"/>
    <w:rsid w:val="31232B28"/>
    <w:rsid w:val="31585C75"/>
    <w:rsid w:val="31653999"/>
    <w:rsid w:val="31747D15"/>
    <w:rsid w:val="31AF7290"/>
    <w:rsid w:val="327856F3"/>
    <w:rsid w:val="327A703E"/>
    <w:rsid w:val="32843DF1"/>
    <w:rsid w:val="32B876D8"/>
    <w:rsid w:val="32C173D5"/>
    <w:rsid w:val="330B754D"/>
    <w:rsid w:val="334F6D3D"/>
    <w:rsid w:val="337E4009"/>
    <w:rsid w:val="33886392"/>
    <w:rsid w:val="338E495F"/>
    <w:rsid w:val="33A40593"/>
    <w:rsid w:val="33B01809"/>
    <w:rsid w:val="33E67AFA"/>
    <w:rsid w:val="33FD2358"/>
    <w:rsid w:val="343D6F08"/>
    <w:rsid w:val="34693E58"/>
    <w:rsid w:val="348A3241"/>
    <w:rsid w:val="349A73BC"/>
    <w:rsid w:val="34A76F6E"/>
    <w:rsid w:val="35014185"/>
    <w:rsid w:val="350C17F9"/>
    <w:rsid w:val="352246B9"/>
    <w:rsid w:val="35541987"/>
    <w:rsid w:val="35997A56"/>
    <w:rsid w:val="35A1628C"/>
    <w:rsid w:val="35A35F0C"/>
    <w:rsid w:val="35AF61A0"/>
    <w:rsid w:val="35BE27C7"/>
    <w:rsid w:val="35C74B8E"/>
    <w:rsid w:val="35D41F5E"/>
    <w:rsid w:val="360440E1"/>
    <w:rsid w:val="360B7EBA"/>
    <w:rsid w:val="362A4EEC"/>
    <w:rsid w:val="364629E2"/>
    <w:rsid w:val="364A5420"/>
    <w:rsid w:val="3652340A"/>
    <w:rsid w:val="367C66CD"/>
    <w:rsid w:val="368A620A"/>
    <w:rsid w:val="368C5E8A"/>
    <w:rsid w:val="369A2C21"/>
    <w:rsid w:val="36FD050B"/>
    <w:rsid w:val="375D223C"/>
    <w:rsid w:val="37606277"/>
    <w:rsid w:val="37720706"/>
    <w:rsid w:val="37BBB885"/>
    <w:rsid w:val="37C95891"/>
    <w:rsid w:val="37DD7DB5"/>
    <w:rsid w:val="380D07E1"/>
    <w:rsid w:val="380F6006"/>
    <w:rsid w:val="3831783F"/>
    <w:rsid w:val="384564E0"/>
    <w:rsid w:val="386E18A2"/>
    <w:rsid w:val="387C479F"/>
    <w:rsid w:val="38C807CB"/>
    <w:rsid w:val="38D661A9"/>
    <w:rsid w:val="38E41B25"/>
    <w:rsid w:val="393328E5"/>
    <w:rsid w:val="39872E6E"/>
    <w:rsid w:val="39902C7F"/>
    <w:rsid w:val="399B1010"/>
    <w:rsid w:val="39AC4B2D"/>
    <w:rsid w:val="39F92E8F"/>
    <w:rsid w:val="39FF1632"/>
    <w:rsid w:val="3A347F09"/>
    <w:rsid w:val="3A4B33B2"/>
    <w:rsid w:val="3A5B14B7"/>
    <w:rsid w:val="3A616A5C"/>
    <w:rsid w:val="3A630CB1"/>
    <w:rsid w:val="3A651D5D"/>
    <w:rsid w:val="3A891BF4"/>
    <w:rsid w:val="3A927E96"/>
    <w:rsid w:val="3AA02728"/>
    <w:rsid w:val="3AE64F46"/>
    <w:rsid w:val="3AF13735"/>
    <w:rsid w:val="3B000270"/>
    <w:rsid w:val="3B2C04A1"/>
    <w:rsid w:val="3B350DB1"/>
    <w:rsid w:val="3B5C05B0"/>
    <w:rsid w:val="3B6D0F0B"/>
    <w:rsid w:val="3B6F55A4"/>
    <w:rsid w:val="3B813A9F"/>
    <w:rsid w:val="3BE16CCB"/>
    <w:rsid w:val="3C1D10AF"/>
    <w:rsid w:val="3C532396"/>
    <w:rsid w:val="3C7207B9"/>
    <w:rsid w:val="3C91106D"/>
    <w:rsid w:val="3CA228CC"/>
    <w:rsid w:val="3CCE5EB3"/>
    <w:rsid w:val="3CD61443"/>
    <w:rsid w:val="3CEF1407"/>
    <w:rsid w:val="3CF70A12"/>
    <w:rsid w:val="3D423410"/>
    <w:rsid w:val="3D48298C"/>
    <w:rsid w:val="3D5B2044"/>
    <w:rsid w:val="3DA20CB5"/>
    <w:rsid w:val="3DAFE496"/>
    <w:rsid w:val="3DC73669"/>
    <w:rsid w:val="3DCA67EC"/>
    <w:rsid w:val="3DFF13F8"/>
    <w:rsid w:val="3E213DF4"/>
    <w:rsid w:val="3E605DE6"/>
    <w:rsid w:val="3E855EC0"/>
    <w:rsid w:val="3EC34805"/>
    <w:rsid w:val="3ED15D09"/>
    <w:rsid w:val="3EE57678"/>
    <w:rsid w:val="3F0179A5"/>
    <w:rsid w:val="3F2E3EB4"/>
    <w:rsid w:val="3F2F1936"/>
    <w:rsid w:val="3F9F8907"/>
    <w:rsid w:val="3FB76908"/>
    <w:rsid w:val="3FDF3535"/>
    <w:rsid w:val="3FEDE381"/>
    <w:rsid w:val="3FF403FA"/>
    <w:rsid w:val="3FF45445"/>
    <w:rsid w:val="3FFB7D85"/>
    <w:rsid w:val="40107D2A"/>
    <w:rsid w:val="401D750B"/>
    <w:rsid w:val="402D1859"/>
    <w:rsid w:val="403C6285"/>
    <w:rsid w:val="40613508"/>
    <w:rsid w:val="407E2D9B"/>
    <w:rsid w:val="408F7B52"/>
    <w:rsid w:val="40DD6179"/>
    <w:rsid w:val="40DE5DF9"/>
    <w:rsid w:val="40EB768D"/>
    <w:rsid w:val="41333305"/>
    <w:rsid w:val="41595743"/>
    <w:rsid w:val="417D2480"/>
    <w:rsid w:val="41A448BE"/>
    <w:rsid w:val="41B92B68"/>
    <w:rsid w:val="42177A14"/>
    <w:rsid w:val="425D5371"/>
    <w:rsid w:val="42831D2D"/>
    <w:rsid w:val="42947394"/>
    <w:rsid w:val="42F5056A"/>
    <w:rsid w:val="43014EE8"/>
    <w:rsid w:val="43945A80"/>
    <w:rsid w:val="44115CBC"/>
    <w:rsid w:val="441546C2"/>
    <w:rsid w:val="4427021C"/>
    <w:rsid w:val="44841C69"/>
    <w:rsid w:val="4486439C"/>
    <w:rsid w:val="44A6072E"/>
    <w:rsid w:val="44E36014"/>
    <w:rsid w:val="44EF1E27"/>
    <w:rsid w:val="45543D4A"/>
    <w:rsid w:val="45996A3C"/>
    <w:rsid w:val="463C17C5"/>
    <w:rsid w:val="46570C01"/>
    <w:rsid w:val="46817118"/>
    <w:rsid w:val="46B32C89"/>
    <w:rsid w:val="46B61793"/>
    <w:rsid w:val="46B71412"/>
    <w:rsid w:val="46C31B69"/>
    <w:rsid w:val="46DB28CC"/>
    <w:rsid w:val="46DD2EBD"/>
    <w:rsid w:val="47241DC7"/>
    <w:rsid w:val="47257848"/>
    <w:rsid w:val="47380A67"/>
    <w:rsid w:val="473C746D"/>
    <w:rsid w:val="473D1E88"/>
    <w:rsid w:val="474C3E84"/>
    <w:rsid w:val="474E1EA1"/>
    <w:rsid w:val="4759319A"/>
    <w:rsid w:val="476063A8"/>
    <w:rsid w:val="47B354CC"/>
    <w:rsid w:val="47E2567D"/>
    <w:rsid w:val="480E77C6"/>
    <w:rsid w:val="486E6429"/>
    <w:rsid w:val="48870774"/>
    <w:rsid w:val="48961A24"/>
    <w:rsid w:val="48D01A82"/>
    <w:rsid w:val="48E32CA1"/>
    <w:rsid w:val="48E74F2A"/>
    <w:rsid w:val="48E8182A"/>
    <w:rsid w:val="491D14B5"/>
    <w:rsid w:val="49275D14"/>
    <w:rsid w:val="494729C5"/>
    <w:rsid w:val="49516B58"/>
    <w:rsid w:val="496070FD"/>
    <w:rsid w:val="498C34BA"/>
    <w:rsid w:val="499F7AAA"/>
    <w:rsid w:val="4A4E1546"/>
    <w:rsid w:val="4A8D525B"/>
    <w:rsid w:val="4ADE6159"/>
    <w:rsid w:val="4AE21441"/>
    <w:rsid w:val="4AF33D06"/>
    <w:rsid w:val="4AF63D31"/>
    <w:rsid w:val="4AF65CA5"/>
    <w:rsid w:val="4B27778F"/>
    <w:rsid w:val="4B334AEF"/>
    <w:rsid w:val="4B3A447A"/>
    <w:rsid w:val="4B687183"/>
    <w:rsid w:val="4B91290A"/>
    <w:rsid w:val="4B94508A"/>
    <w:rsid w:val="4B9B7997"/>
    <w:rsid w:val="4BE1398E"/>
    <w:rsid w:val="4BE90D9B"/>
    <w:rsid w:val="4C26537C"/>
    <w:rsid w:val="4CB606D5"/>
    <w:rsid w:val="4CC35A16"/>
    <w:rsid w:val="4CFE4B10"/>
    <w:rsid w:val="4D170188"/>
    <w:rsid w:val="4D226519"/>
    <w:rsid w:val="4D3D4B44"/>
    <w:rsid w:val="4D605FFE"/>
    <w:rsid w:val="4DA60CF0"/>
    <w:rsid w:val="4DA836CD"/>
    <w:rsid w:val="4DCF7936"/>
    <w:rsid w:val="4E2A6D4B"/>
    <w:rsid w:val="4E332B8F"/>
    <w:rsid w:val="4E670DAE"/>
    <w:rsid w:val="4E9563FB"/>
    <w:rsid w:val="4EB50EAE"/>
    <w:rsid w:val="4ED60179"/>
    <w:rsid w:val="4F265CEA"/>
    <w:rsid w:val="4F330E78"/>
    <w:rsid w:val="4F606DC8"/>
    <w:rsid w:val="4FA4275B"/>
    <w:rsid w:val="4FF62B3F"/>
    <w:rsid w:val="500862DC"/>
    <w:rsid w:val="50170AF5"/>
    <w:rsid w:val="50317388"/>
    <w:rsid w:val="504D6FCA"/>
    <w:rsid w:val="5050014E"/>
    <w:rsid w:val="506B626B"/>
    <w:rsid w:val="5085399F"/>
    <w:rsid w:val="509129BD"/>
    <w:rsid w:val="509C0D4E"/>
    <w:rsid w:val="50C61BA5"/>
    <w:rsid w:val="50F66D47"/>
    <w:rsid w:val="51186119"/>
    <w:rsid w:val="516A07D7"/>
    <w:rsid w:val="51B4594C"/>
    <w:rsid w:val="51CB4D50"/>
    <w:rsid w:val="51FA0C8B"/>
    <w:rsid w:val="520044D0"/>
    <w:rsid w:val="52241ACF"/>
    <w:rsid w:val="5247549D"/>
    <w:rsid w:val="52B06F4B"/>
    <w:rsid w:val="52B72342"/>
    <w:rsid w:val="53362086"/>
    <w:rsid w:val="53504011"/>
    <w:rsid w:val="535A53CF"/>
    <w:rsid w:val="539F6458"/>
    <w:rsid w:val="53B475F2"/>
    <w:rsid w:val="53BB2BBB"/>
    <w:rsid w:val="53BE1870"/>
    <w:rsid w:val="53D76E78"/>
    <w:rsid w:val="53EF36C4"/>
    <w:rsid w:val="53F24649"/>
    <w:rsid w:val="53F75E90"/>
    <w:rsid w:val="54242899"/>
    <w:rsid w:val="54244A97"/>
    <w:rsid w:val="542F66AC"/>
    <w:rsid w:val="54392081"/>
    <w:rsid w:val="54517EE5"/>
    <w:rsid w:val="547B0D29"/>
    <w:rsid w:val="54B2699B"/>
    <w:rsid w:val="54B6344D"/>
    <w:rsid w:val="552941A5"/>
    <w:rsid w:val="553A45E0"/>
    <w:rsid w:val="554219EC"/>
    <w:rsid w:val="55431223"/>
    <w:rsid w:val="55772F98"/>
    <w:rsid w:val="55774444"/>
    <w:rsid w:val="558511DC"/>
    <w:rsid w:val="558F536E"/>
    <w:rsid w:val="55AC6E9D"/>
    <w:rsid w:val="55DA66E7"/>
    <w:rsid w:val="55E96D02"/>
    <w:rsid w:val="56031AAA"/>
    <w:rsid w:val="56073D33"/>
    <w:rsid w:val="5609453D"/>
    <w:rsid w:val="561D7769"/>
    <w:rsid w:val="563C26E7"/>
    <w:rsid w:val="56574DB7"/>
    <w:rsid w:val="56675696"/>
    <w:rsid w:val="568D1A0E"/>
    <w:rsid w:val="56C93DF1"/>
    <w:rsid w:val="56CF5CFB"/>
    <w:rsid w:val="56E23696"/>
    <w:rsid w:val="56E90AA3"/>
    <w:rsid w:val="56F60E38"/>
    <w:rsid w:val="570219CD"/>
    <w:rsid w:val="570B1562"/>
    <w:rsid w:val="57514FCF"/>
    <w:rsid w:val="578698C7"/>
    <w:rsid w:val="5804070A"/>
    <w:rsid w:val="587663C6"/>
    <w:rsid w:val="589752E6"/>
    <w:rsid w:val="58AD528C"/>
    <w:rsid w:val="58DB1253"/>
    <w:rsid w:val="58F774D1"/>
    <w:rsid w:val="592C618B"/>
    <w:rsid w:val="5953277C"/>
    <w:rsid w:val="59BB9588"/>
    <w:rsid w:val="5A0E6D77"/>
    <w:rsid w:val="5A1D2B64"/>
    <w:rsid w:val="5A7A547C"/>
    <w:rsid w:val="5A8C0F70"/>
    <w:rsid w:val="5AA8FB72"/>
    <w:rsid w:val="5AC24977"/>
    <w:rsid w:val="5ACA164D"/>
    <w:rsid w:val="5ADE285F"/>
    <w:rsid w:val="5B4841EB"/>
    <w:rsid w:val="5B4D6AD9"/>
    <w:rsid w:val="5B54173C"/>
    <w:rsid w:val="5B5773E8"/>
    <w:rsid w:val="5B7F3225"/>
    <w:rsid w:val="5B926DC7"/>
    <w:rsid w:val="5B9836D5"/>
    <w:rsid w:val="5BA712E6"/>
    <w:rsid w:val="5BD844BF"/>
    <w:rsid w:val="5BDC2EC5"/>
    <w:rsid w:val="5BFB5978"/>
    <w:rsid w:val="5BFFF42F"/>
    <w:rsid w:val="5C0919D9"/>
    <w:rsid w:val="5C285AAB"/>
    <w:rsid w:val="5C297741"/>
    <w:rsid w:val="5C422869"/>
    <w:rsid w:val="5C553A88"/>
    <w:rsid w:val="5C606CD4"/>
    <w:rsid w:val="5C626621"/>
    <w:rsid w:val="5C805BD1"/>
    <w:rsid w:val="5CA81314"/>
    <w:rsid w:val="5CCA2EF2"/>
    <w:rsid w:val="5CEB6F47"/>
    <w:rsid w:val="5CEC60B0"/>
    <w:rsid w:val="5CF9BA36"/>
    <w:rsid w:val="5CFEB682"/>
    <w:rsid w:val="5D1C3851"/>
    <w:rsid w:val="5D3B6146"/>
    <w:rsid w:val="5D437E8D"/>
    <w:rsid w:val="5D8131F5"/>
    <w:rsid w:val="5D9A411F"/>
    <w:rsid w:val="5D9C4847"/>
    <w:rsid w:val="5DED0326"/>
    <w:rsid w:val="5DFE93E6"/>
    <w:rsid w:val="5E6A3173"/>
    <w:rsid w:val="5EC1417A"/>
    <w:rsid w:val="5ECB72CB"/>
    <w:rsid w:val="5F042E55"/>
    <w:rsid w:val="5F176B0F"/>
    <w:rsid w:val="5F2B6395"/>
    <w:rsid w:val="5F5AAE7E"/>
    <w:rsid w:val="5F7A0DB2"/>
    <w:rsid w:val="5F843E7D"/>
    <w:rsid w:val="5F8C454F"/>
    <w:rsid w:val="5FDE3652"/>
    <w:rsid w:val="5FDF9696"/>
    <w:rsid w:val="5FE34F5E"/>
    <w:rsid w:val="5FF31F49"/>
    <w:rsid w:val="60045493"/>
    <w:rsid w:val="600A2C1F"/>
    <w:rsid w:val="602058D4"/>
    <w:rsid w:val="6037578E"/>
    <w:rsid w:val="605017FB"/>
    <w:rsid w:val="610040DB"/>
    <w:rsid w:val="61022954"/>
    <w:rsid w:val="61107F4E"/>
    <w:rsid w:val="611A085E"/>
    <w:rsid w:val="61335B85"/>
    <w:rsid w:val="6141071D"/>
    <w:rsid w:val="615A3846"/>
    <w:rsid w:val="615D678E"/>
    <w:rsid w:val="616B1562"/>
    <w:rsid w:val="61770BF8"/>
    <w:rsid w:val="61870E92"/>
    <w:rsid w:val="619C66E5"/>
    <w:rsid w:val="61C34AFD"/>
    <w:rsid w:val="61C74006"/>
    <w:rsid w:val="61CA536E"/>
    <w:rsid w:val="61DA7617"/>
    <w:rsid w:val="623A6737"/>
    <w:rsid w:val="624938A1"/>
    <w:rsid w:val="62595967"/>
    <w:rsid w:val="62893F38"/>
    <w:rsid w:val="62AD53F1"/>
    <w:rsid w:val="62BE52D0"/>
    <w:rsid w:val="62C94D21"/>
    <w:rsid w:val="62EA70EE"/>
    <w:rsid w:val="63140553"/>
    <w:rsid w:val="634F4121"/>
    <w:rsid w:val="63546E84"/>
    <w:rsid w:val="636A05A7"/>
    <w:rsid w:val="636F0D32"/>
    <w:rsid w:val="63785DBF"/>
    <w:rsid w:val="6396536F"/>
    <w:rsid w:val="63A03473"/>
    <w:rsid w:val="63AB02C9"/>
    <w:rsid w:val="63B25198"/>
    <w:rsid w:val="63D92960"/>
    <w:rsid w:val="63D94BB4"/>
    <w:rsid w:val="64101FD3"/>
    <w:rsid w:val="64112ABA"/>
    <w:rsid w:val="64274C5E"/>
    <w:rsid w:val="6457770E"/>
    <w:rsid w:val="64873602"/>
    <w:rsid w:val="649C497F"/>
    <w:rsid w:val="650F29DD"/>
    <w:rsid w:val="652128F7"/>
    <w:rsid w:val="65293587"/>
    <w:rsid w:val="65393821"/>
    <w:rsid w:val="654040F8"/>
    <w:rsid w:val="65490238"/>
    <w:rsid w:val="654F44F7"/>
    <w:rsid w:val="655755CE"/>
    <w:rsid w:val="65605C5F"/>
    <w:rsid w:val="65A7DD66"/>
    <w:rsid w:val="65B42C2D"/>
    <w:rsid w:val="65D72426"/>
    <w:rsid w:val="65F71656"/>
    <w:rsid w:val="66464C58"/>
    <w:rsid w:val="664A61F6"/>
    <w:rsid w:val="66705A9C"/>
    <w:rsid w:val="669D13ED"/>
    <w:rsid w:val="669D6463"/>
    <w:rsid w:val="66B76211"/>
    <w:rsid w:val="66ED66EB"/>
    <w:rsid w:val="66F3441E"/>
    <w:rsid w:val="6700790A"/>
    <w:rsid w:val="67412975"/>
    <w:rsid w:val="67706CC4"/>
    <w:rsid w:val="67804B83"/>
    <w:rsid w:val="686D58E2"/>
    <w:rsid w:val="68A4383E"/>
    <w:rsid w:val="68B63758"/>
    <w:rsid w:val="68BB3E85"/>
    <w:rsid w:val="68BC5661"/>
    <w:rsid w:val="692AD9A3"/>
    <w:rsid w:val="694E29D2"/>
    <w:rsid w:val="6958101C"/>
    <w:rsid w:val="696A30EC"/>
    <w:rsid w:val="69771617"/>
    <w:rsid w:val="69AC2DD1"/>
    <w:rsid w:val="69FC1190"/>
    <w:rsid w:val="6A0E178B"/>
    <w:rsid w:val="6A4C69DF"/>
    <w:rsid w:val="6A92347A"/>
    <w:rsid w:val="6AD36030"/>
    <w:rsid w:val="6AFD6E95"/>
    <w:rsid w:val="6AFF332E"/>
    <w:rsid w:val="6B1235B7"/>
    <w:rsid w:val="6B276260"/>
    <w:rsid w:val="6B457289"/>
    <w:rsid w:val="6B467B80"/>
    <w:rsid w:val="6B8918F6"/>
    <w:rsid w:val="6BC02785"/>
    <w:rsid w:val="6BF33F2A"/>
    <w:rsid w:val="6C1134DA"/>
    <w:rsid w:val="6C172C43"/>
    <w:rsid w:val="6C7904F7"/>
    <w:rsid w:val="6CC87405"/>
    <w:rsid w:val="6CD43218"/>
    <w:rsid w:val="6CD45B4C"/>
    <w:rsid w:val="6CD61F9E"/>
    <w:rsid w:val="6D211DF9"/>
    <w:rsid w:val="6D2D712A"/>
    <w:rsid w:val="6D3B4513"/>
    <w:rsid w:val="6D42678E"/>
    <w:rsid w:val="6D660588"/>
    <w:rsid w:val="6DDA0547"/>
    <w:rsid w:val="6EA872E5"/>
    <w:rsid w:val="6EC93D93"/>
    <w:rsid w:val="6EFB37AC"/>
    <w:rsid w:val="6F321DFD"/>
    <w:rsid w:val="6F44559B"/>
    <w:rsid w:val="6F4732D0"/>
    <w:rsid w:val="6F47651F"/>
    <w:rsid w:val="6F4D1984"/>
    <w:rsid w:val="6F547B51"/>
    <w:rsid w:val="6F8E6C94"/>
    <w:rsid w:val="6F9DF0D2"/>
    <w:rsid w:val="6F9F1F8C"/>
    <w:rsid w:val="6FAB07E4"/>
    <w:rsid w:val="6FBD7639"/>
    <w:rsid w:val="6FD56FCD"/>
    <w:rsid w:val="6FD67088"/>
    <w:rsid w:val="6FEA5D29"/>
    <w:rsid w:val="6FF7503E"/>
    <w:rsid w:val="6FFF85D5"/>
    <w:rsid w:val="701B1D7B"/>
    <w:rsid w:val="70245E61"/>
    <w:rsid w:val="706259F0"/>
    <w:rsid w:val="70C62214"/>
    <w:rsid w:val="70EE74DA"/>
    <w:rsid w:val="710F390D"/>
    <w:rsid w:val="71346C80"/>
    <w:rsid w:val="7174582F"/>
    <w:rsid w:val="717C2C3C"/>
    <w:rsid w:val="71830048"/>
    <w:rsid w:val="71997CA3"/>
    <w:rsid w:val="719C0F72"/>
    <w:rsid w:val="71DF68E4"/>
    <w:rsid w:val="71DF77B8"/>
    <w:rsid w:val="72357E6C"/>
    <w:rsid w:val="72396872"/>
    <w:rsid w:val="72C154D1"/>
    <w:rsid w:val="72C20D55"/>
    <w:rsid w:val="72E00E7E"/>
    <w:rsid w:val="72F16F58"/>
    <w:rsid w:val="730C7E8B"/>
    <w:rsid w:val="73571248"/>
    <w:rsid w:val="73655FDF"/>
    <w:rsid w:val="736B7EE9"/>
    <w:rsid w:val="73716D96"/>
    <w:rsid w:val="73A744CA"/>
    <w:rsid w:val="73AA3251"/>
    <w:rsid w:val="73BFDC55"/>
    <w:rsid w:val="73DB341B"/>
    <w:rsid w:val="73DC6BDE"/>
    <w:rsid w:val="73DD3A88"/>
    <w:rsid w:val="73EE19BE"/>
    <w:rsid w:val="74123422"/>
    <w:rsid w:val="74165E03"/>
    <w:rsid w:val="741F78F3"/>
    <w:rsid w:val="742F0F2B"/>
    <w:rsid w:val="74391906"/>
    <w:rsid w:val="74491AD5"/>
    <w:rsid w:val="744D1FB7"/>
    <w:rsid w:val="745F6367"/>
    <w:rsid w:val="74630481"/>
    <w:rsid w:val="748E65F7"/>
    <w:rsid w:val="74AA2DF3"/>
    <w:rsid w:val="74B152E2"/>
    <w:rsid w:val="74BF2D99"/>
    <w:rsid w:val="74C0081A"/>
    <w:rsid w:val="74C1629C"/>
    <w:rsid w:val="74C92DE3"/>
    <w:rsid w:val="74D674B3"/>
    <w:rsid w:val="751718B0"/>
    <w:rsid w:val="752D33CD"/>
    <w:rsid w:val="75307832"/>
    <w:rsid w:val="75354709"/>
    <w:rsid w:val="75A02087"/>
    <w:rsid w:val="75A615C8"/>
    <w:rsid w:val="75B9AB68"/>
    <w:rsid w:val="75DB49BF"/>
    <w:rsid w:val="75E14175"/>
    <w:rsid w:val="75F84ABB"/>
    <w:rsid w:val="761F61D8"/>
    <w:rsid w:val="765D64C9"/>
    <w:rsid w:val="76CD1ACF"/>
    <w:rsid w:val="77042FD3"/>
    <w:rsid w:val="77556255"/>
    <w:rsid w:val="779260BA"/>
    <w:rsid w:val="77C349EC"/>
    <w:rsid w:val="78031871"/>
    <w:rsid w:val="78106988"/>
    <w:rsid w:val="781C780D"/>
    <w:rsid w:val="783C5E5A"/>
    <w:rsid w:val="78674E18"/>
    <w:rsid w:val="78823444"/>
    <w:rsid w:val="78B95B1C"/>
    <w:rsid w:val="78C74E32"/>
    <w:rsid w:val="79113FAC"/>
    <w:rsid w:val="792D3FB2"/>
    <w:rsid w:val="793144E1"/>
    <w:rsid w:val="794D4744"/>
    <w:rsid w:val="795740CA"/>
    <w:rsid w:val="796D68C4"/>
    <w:rsid w:val="797E0D1B"/>
    <w:rsid w:val="79AA1500"/>
    <w:rsid w:val="79AA207A"/>
    <w:rsid w:val="79BA3DDD"/>
    <w:rsid w:val="79BA69C4"/>
    <w:rsid w:val="79C505D8"/>
    <w:rsid w:val="79CD2161"/>
    <w:rsid w:val="79DC497A"/>
    <w:rsid w:val="7A2F5ACD"/>
    <w:rsid w:val="7A321177"/>
    <w:rsid w:val="7A335389"/>
    <w:rsid w:val="7A656D9D"/>
    <w:rsid w:val="7A6866F5"/>
    <w:rsid w:val="7AA05B50"/>
    <w:rsid w:val="7AA66182"/>
    <w:rsid w:val="7AA87C77"/>
    <w:rsid w:val="7ACC7211"/>
    <w:rsid w:val="7ADC26DA"/>
    <w:rsid w:val="7B09796A"/>
    <w:rsid w:val="7B245F96"/>
    <w:rsid w:val="7B2975DE"/>
    <w:rsid w:val="7B3F6707"/>
    <w:rsid w:val="7B7E1B28"/>
    <w:rsid w:val="7B912D47"/>
    <w:rsid w:val="7B941ACD"/>
    <w:rsid w:val="7B9C7C64"/>
    <w:rsid w:val="7BB73212"/>
    <w:rsid w:val="7BBB16E6"/>
    <w:rsid w:val="7BFDA4D4"/>
    <w:rsid w:val="7BFF5D89"/>
    <w:rsid w:val="7C1C072C"/>
    <w:rsid w:val="7C345DD3"/>
    <w:rsid w:val="7C3E1854"/>
    <w:rsid w:val="7C4E2200"/>
    <w:rsid w:val="7C4F43FE"/>
    <w:rsid w:val="7CC054AC"/>
    <w:rsid w:val="7CF8282D"/>
    <w:rsid w:val="7CFB2A9E"/>
    <w:rsid w:val="7D206CD5"/>
    <w:rsid w:val="7D287965"/>
    <w:rsid w:val="7D5F58C0"/>
    <w:rsid w:val="7D6407C6"/>
    <w:rsid w:val="7D684ECB"/>
    <w:rsid w:val="7D883202"/>
    <w:rsid w:val="7D890C83"/>
    <w:rsid w:val="7D9E55F6"/>
    <w:rsid w:val="7DBB4955"/>
    <w:rsid w:val="7DBFB939"/>
    <w:rsid w:val="7DFDA1EA"/>
    <w:rsid w:val="7E0D350F"/>
    <w:rsid w:val="7E2D4F8F"/>
    <w:rsid w:val="7E657916"/>
    <w:rsid w:val="7EA10814"/>
    <w:rsid w:val="7EF114C8"/>
    <w:rsid w:val="7EF7B19B"/>
    <w:rsid w:val="7EFD9B38"/>
    <w:rsid w:val="7F1F8287"/>
    <w:rsid w:val="7F3430E9"/>
    <w:rsid w:val="7F664991"/>
    <w:rsid w:val="7F6D431C"/>
    <w:rsid w:val="7F7B2FE2"/>
    <w:rsid w:val="7F7FB49A"/>
    <w:rsid w:val="7F7FC52E"/>
    <w:rsid w:val="7FCC7BB8"/>
    <w:rsid w:val="7FD6273E"/>
    <w:rsid w:val="7FE142DA"/>
    <w:rsid w:val="7FEFBE08"/>
    <w:rsid w:val="7FF16AF3"/>
    <w:rsid w:val="9D7321F2"/>
    <w:rsid w:val="A3FF148A"/>
    <w:rsid w:val="ACD7E178"/>
    <w:rsid w:val="ACFD2BD1"/>
    <w:rsid w:val="AF7DD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 fillcolor="white">
      <v:fill color="white"/>
    </o:shapedefaults>
    <o:shapelayout v:ext="edit">
      <o:idmap v:ext="edit" data="2"/>
    </o:shapelayout>
  </w:shapeDefaults>
  <w:decimalSymbol w:val="."/>
  <w:listSeparator w:val=","/>
  <w15:docId w15:val="{79DE9090-AF5B-4A5F-A986-5E63D15B3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numPr>
        <w:ilvl w:val="1"/>
        <w:numId w:val="1"/>
      </w:numPr>
      <w:outlineLvl w:val="1"/>
    </w:pPr>
    <w:rPr>
      <w:rFonts w:asciiTheme="majorHAnsi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numPr>
        <w:ilvl w:val="2"/>
        <w:numId w:val="2"/>
      </w:numPr>
      <w:spacing w:beforeLines="50" w:before="50" w:afterLines="50" w:after="50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numPr>
        <w:ilvl w:val="3"/>
        <w:numId w:val="3"/>
      </w:numPr>
      <w:spacing w:before="20" w:after="20"/>
      <w:outlineLvl w:val="3"/>
    </w:pPr>
    <w:rPr>
      <w:rFonts w:asciiTheme="majorHAnsi" w:eastAsiaTheme="majorEastAsia" w:hAnsiTheme="majorHAnsi" w:cstheme="majorBidi"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Chars="1200" w:left="2520"/>
    </w:pPr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51">
    <w:name w:val="toc 5"/>
    <w:basedOn w:val="a"/>
    <w:next w:val="a"/>
    <w:uiPriority w:val="39"/>
    <w:unhideWhenUsed/>
    <w:qFormat/>
    <w:pPr>
      <w:ind w:leftChars="800" w:left="1680"/>
    </w:pPr>
  </w:style>
  <w:style w:type="paragraph" w:styleId="31">
    <w:name w:val="toc 3"/>
    <w:basedOn w:val="a"/>
    <w:next w:val="a"/>
    <w:uiPriority w:val="39"/>
    <w:unhideWhenUsed/>
    <w:qFormat/>
    <w:pPr>
      <w:ind w:leftChars="400" w:left="840"/>
    </w:pPr>
    <w:rPr>
      <w:sz w:val="18"/>
    </w:rPr>
  </w:style>
  <w:style w:type="paragraph" w:styleId="8">
    <w:name w:val="toc 8"/>
    <w:basedOn w:val="a"/>
    <w:next w:val="a"/>
    <w:uiPriority w:val="39"/>
    <w:unhideWhenUsed/>
    <w:qFormat/>
    <w:pPr>
      <w:ind w:leftChars="1400" w:left="2940"/>
    </w:pPr>
  </w:style>
  <w:style w:type="paragraph" w:styleId="a5">
    <w:name w:val="Balloon Text"/>
    <w:basedOn w:val="a"/>
    <w:link w:val="a6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uiPriority w:val="39"/>
    <w:unhideWhenUsed/>
    <w:qFormat/>
  </w:style>
  <w:style w:type="paragraph" w:styleId="41">
    <w:name w:val="toc 4"/>
    <w:basedOn w:val="a"/>
    <w:next w:val="a"/>
    <w:uiPriority w:val="39"/>
    <w:unhideWhenUsed/>
    <w:qFormat/>
    <w:pPr>
      <w:ind w:leftChars="600" w:left="1260"/>
    </w:pPr>
  </w:style>
  <w:style w:type="paragraph" w:styleId="6">
    <w:name w:val="toc 6"/>
    <w:basedOn w:val="a"/>
    <w:next w:val="a"/>
    <w:uiPriority w:val="39"/>
    <w:unhideWhenUsed/>
    <w:qFormat/>
    <w:pPr>
      <w:ind w:leftChars="1000" w:left="2100"/>
    </w:pPr>
  </w:style>
  <w:style w:type="paragraph" w:styleId="21">
    <w:name w:val="toc 2"/>
    <w:basedOn w:val="a"/>
    <w:next w:val="a"/>
    <w:uiPriority w:val="39"/>
    <w:unhideWhenUsed/>
    <w:qFormat/>
    <w:pPr>
      <w:ind w:leftChars="200" w:left="420"/>
    </w:pPr>
    <w:rPr>
      <w:sz w:val="18"/>
    </w:rPr>
  </w:style>
  <w:style w:type="paragraph" w:styleId="9">
    <w:name w:val="toc 9"/>
    <w:basedOn w:val="a"/>
    <w:next w:val="a"/>
    <w:uiPriority w:val="39"/>
    <w:unhideWhenUsed/>
    <w:qFormat/>
    <w:pPr>
      <w:ind w:leftChars="1600" w:left="3360"/>
    </w:pPr>
  </w:style>
  <w:style w:type="paragraph" w:styleId="ab">
    <w:name w:val="Normal (Web)"/>
    <w:basedOn w:val="a"/>
    <w:uiPriority w:val="99"/>
    <w:unhideWhenUsed/>
    <w:qFormat/>
    <w:pPr>
      <w:widowControl/>
      <w:spacing w:before="100" w:beforeAutospacing="1" w:after="100" w:afterAutospacing="1"/>
    </w:pPr>
    <w:rPr>
      <w:szCs w:val="24"/>
    </w:rPr>
  </w:style>
  <w:style w:type="paragraph" w:styleId="ac">
    <w:name w:val="annotation subject"/>
    <w:basedOn w:val="a3"/>
    <w:next w:val="a3"/>
    <w:link w:val="ad"/>
    <w:uiPriority w:val="99"/>
    <w:unhideWhenUsed/>
    <w:qFormat/>
    <w:rPr>
      <w:b/>
      <w:bCs/>
    </w:rPr>
  </w:style>
  <w:style w:type="table" w:styleId="ae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qFormat/>
    <w:rPr>
      <w:color w:val="0000FF"/>
      <w:u w:val="single"/>
    </w:rPr>
  </w:style>
  <w:style w:type="character" w:styleId="af0">
    <w:name w:val="annotation reference"/>
    <w:basedOn w:val="a0"/>
    <w:uiPriority w:val="99"/>
    <w:unhideWhenUsed/>
    <w:qFormat/>
    <w:rPr>
      <w:sz w:val="21"/>
      <w:szCs w:val="21"/>
    </w:rPr>
  </w:style>
  <w:style w:type="paragraph" w:customStyle="1" w:styleId="12">
    <w:name w:val="列表段落1"/>
    <w:basedOn w:val="a"/>
    <w:uiPriority w:val="34"/>
    <w:qFormat/>
    <w:pPr>
      <w:ind w:firstLineChars="200" w:firstLine="420"/>
    </w:p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rFonts w:asciiTheme="minorHAnsi" w:eastAsiaTheme="minorEastAsia" w:hAnsiTheme="minorHAnsi"/>
      <w:b/>
      <w:bCs/>
      <w:kern w:val="44"/>
      <w:sz w:val="30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inorEastAsia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Pr>
      <w:rFonts w:asciiTheme="minorHAnsi" w:eastAsiaTheme="minorEastAsia" w:hAnsiTheme="minorHAnsi"/>
      <w:b/>
      <w:bCs/>
      <w:sz w:val="24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Cs/>
      <w:sz w:val="24"/>
      <w:szCs w:val="28"/>
    </w:rPr>
  </w:style>
  <w:style w:type="character" w:customStyle="1" w:styleId="50">
    <w:name w:val="标题 5 字符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4">
    <w:name w:val="批注文字 字符"/>
    <w:basedOn w:val="a0"/>
    <w:link w:val="a3"/>
    <w:uiPriority w:val="99"/>
    <w:semiHidden/>
    <w:qFormat/>
  </w:style>
  <w:style w:type="character" w:customStyle="1" w:styleId="ad">
    <w:name w:val="批注主题 字符"/>
    <w:basedOn w:val="a4"/>
    <w:link w:val="ac"/>
    <w:uiPriority w:val="99"/>
    <w:semiHidden/>
    <w:qFormat/>
    <w:rPr>
      <w:b/>
      <w:bCs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customStyle="1" w:styleId="13">
    <w:name w:val="列出段落1"/>
    <w:basedOn w:val="a"/>
    <w:uiPriority w:val="34"/>
    <w:qFormat/>
    <w:pPr>
      <w:ind w:firstLineChars="200" w:firstLine="420"/>
    </w:pPr>
  </w:style>
  <w:style w:type="paragraph" w:customStyle="1" w:styleId="14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file:///D:\Users\sunyi\AppData\Roaming\feiq\RichOle\2653385216.bmp" TargetMode="External"/><Relationship Id="rId21" Type="http://schemas.openxmlformats.org/officeDocument/2006/relationships/image" Target="file:///D:\Users\sunyi\AppData\Roaming\feiq\RichOle\2809512980.bmp" TargetMode="External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63" Type="http://schemas.openxmlformats.org/officeDocument/2006/relationships/image" Target="media/image41.png"/><Relationship Id="rId68" Type="http://schemas.openxmlformats.org/officeDocument/2006/relationships/image" Target="media/image46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2.png"/><Relationship Id="rId11" Type="http://schemas.openxmlformats.org/officeDocument/2006/relationships/footer" Target="footer1.xml"/><Relationship Id="rId24" Type="http://schemas.openxmlformats.org/officeDocument/2006/relationships/image" Target="media/image9.png"/><Relationship Id="rId32" Type="http://schemas.openxmlformats.org/officeDocument/2006/relationships/image" Target="file:///D:\Users\sunyi\AppData\Roaming\feiq\RichOle\2368821777.bmp" TargetMode="External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66" Type="http://schemas.openxmlformats.org/officeDocument/2006/relationships/image" Target="media/image44.png"/><Relationship Id="rId5" Type="http://schemas.openxmlformats.org/officeDocument/2006/relationships/webSettings" Target="webSettings.xml"/><Relationship Id="rId61" Type="http://schemas.openxmlformats.org/officeDocument/2006/relationships/header" Target="header4.xml"/><Relationship Id="rId19" Type="http://schemas.openxmlformats.org/officeDocument/2006/relationships/image" Target="file:///D:\Users\sunyi\AppData\Roaming\feiq\RichOle\2828610760.bmp" TargetMode="Externa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openxmlformats.org/officeDocument/2006/relationships/image" Target="file:///D:\Users\sunyi\AppData\Roaming\feiq\RichOle\631467550.bmp" TargetMode="External"/><Relationship Id="rId35" Type="http://schemas.openxmlformats.org/officeDocument/2006/relationships/footer" Target="footer4.xml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56" Type="http://schemas.openxmlformats.org/officeDocument/2006/relationships/image" Target="media/image35.png"/><Relationship Id="rId64" Type="http://schemas.openxmlformats.org/officeDocument/2006/relationships/image" Target="media/image42.png"/><Relationship Id="rId69" Type="http://schemas.openxmlformats.org/officeDocument/2006/relationships/image" Target="media/image47.png"/><Relationship Id="rId8" Type="http://schemas.openxmlformats.org/officeDocument/2006/relationships/image" Target="media/image1.png"/><Relationship Id="rId51" Type="http://schemas.openxmlformats.org/officeDocument/2006/relationships/image" Target="media/image30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7.png"/><Relationship Id="rId46" Type="http://schemas.openxmlformats.org/officeDocument/2006/relationships/image" Target="media/image25.png"/><Relationship Id="rId59" Type="http://schemas.openxmlformats.org/officeDocument/2006/relationships/image" Target="media/image38.png"/><Relationship Id="rId67" Type="http://schemas.openxmlformats.org/officeDocument/2006/relationships/image" Target="media/image45.png"/><Relationship Id="rId20" Type="http://schemas.openxmlformats.org/officeDocument/2006/relationships/image" Target="media/image7.png"/><Relationship Id="rId41" Type="http://schemas.openxmlformats.org/officeDocument/2006/relationships/image" Target="media/image20.png"/><Relationship Id="rId54" Type="http://schemas.openxmlformats.org/officeDocument/2006/relationships/image" Target="media/image33.png"/><Relationship Id="rId62" Type="http://schemas.openxmlformats.org/officeDocument/2006/relationships/image" Target="media/image40.png"/><Relationship Id="rId7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file:///D:\Users\sunyi\AppData\Roaming\feiq\RichOle\3214926238.bmp" TargetMode="External"/><Relationship Id="rId28" Type="http://schemas.openxmlformats.org/officeDocument/2006/relationships/image" Target="file:///D:\Users\sunyi\AppData\Roaming\feiq\RichOle\2221673248.bmp" TargetMode="External"/><Relationship Id="rId36" Type="http://schemas.openxmlformats.org/officeDocument/2006/relationships/image" Target="media/image15.png"/><Relationship Id="rId49" Type="http://schemas.openxmlformats.org/officeDocument/2006/relationships/image" Target="media/image28.png"/><Relationship Id="rId57" Type="http://schemas.openxmlformats.org/officeDocument/2006/relationships/image" Target="media/image36.png"/><Relationship Id="rId10" Type="http://schemas.openxmlformats.org/officeDocument/2006/relationships/header" Target="header1.xml"/><Relationship Id="rId31" Type="http://schemas.openxmlformats.org/officeDocument/2006/relationships/image" Target="media/image13.png"/><Relationship Id="rId44" Type="http://schemas.openxmlformats.org/officeDocument/2006/relationships/image" Target="media/image23.png"/><Relationship Id="rId52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9" Type="http://schemas.openxmlformats.org/officeDocument/2006/relationships/image" Target="media/image18.png"/><Relationship Id="rId34" Type="http://schemas.openxmlformats.org/officeDocument/2006/relationships/header" Target="header3.xml"/><Relationship Id="rId50" Type="http://schemas.openxmlformats.org/officeDocument/2006/relationships/image" Target="media/image29.png"/><Relationship Id="rId55" Type="http://schemas.openxmlformats.org/officeDocument/2006/relationships/image" Target="media/image3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29</Pages>
  <Words>1312</Words>
  <Characters>7482</Characters>
  <Application>Microsoft Office Word</Application>
  <DocSecurity>0</DocSecurity>
  <Lines>62</Lines>
  <Paragraphs>17</Paragraphs>
  <ScaleCrop>false</ScaleCrop>
  <Company>fc</Company>
  <LinksUpToDate>false</LinksUpToDate>
  <CharactersWithSpaces>8777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liuyang</dc:creator>
  <cp:lastModifiedBy>刘婧婧</cp:lastModifiedBy>
  <cp:revision>85</cp:revision>
  <cp:lastPrinted>2019-09-10T20:34:00Z</cp:lastPrinted>
  <dcterms:created xsi:type="dcterms:W3CDTF">2019-09-08T10:46:00Z</dcterms:created>
  <dcterms:modified xsi:type="dcterms:W3CDTF">2023-08-24T10:33:00Z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0x0101006291D483089A7845B55286B135BF7B00</vt:lpwstr>
  </property>
  <property fmtid="{D5CDD505-2E9C-101B-9397-08002B2CF9AE}" pid="3" name="KSOProductBuildVer">
    <vt:lpwstr>2052-11.8.2.11929</vt:lpwstr>
  </property>
  <property fmtid="{D5CDD505-2E9C-101B-9397-08002B2CF9AE}" pid="4" name="ICV">
    <vt:lpwstr>CD5A50E8DC68D2AD7F26E764DFC1F632</vt:lpwstr>
  </property>
</Properties>
</file>